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val="0"/>
          <w:bCs w:val="0"/>
          <w:sz w:val="32"/>
          <w:szCs w:val="32"/>
        </w:rPr>
      </w:pPr>
      <w:bookmarkStart w:id="0" w:name="_Hlk152069072"/>
      <w:bookmarkStart w:id="1" w:name="_Hlk91433758"/>
      <w:r>
        <w:rPr>
          <w:rFonts w:hint="eastAsia" w:ascii="方正小标宋_GBK" w:hAnsi="方正小标宋_GBK" w:eastAsia="方正小标宋_GBK" w:cs="方正小标宋_GBK"/>
          <w:sz w:val="44"/>
          <w:szCs w:val="44"/>
        </w:rPr>
        <w:t>洋县国家级生态产品供给基地建设规划</w:t>
      </w:r>
      <w:bookmarkEnd w:id="0"/>
      <w:bookmarkEnd w:id="1"/>
      <w:bookmarkStart w:id="2" w:name="_Toc12260"/>
      <w:bookmarkStart w:id="3" w:name="_Toc133539445"/>
    </w:p>
    <w:p>
      <w:pPr>
        <w:pStyle w:val="3"/>
        <w:spacing w:before="0" w:after="0" w:line="580" w:lineRule="exact"/>
        <w:jc w:val="center"/>
        <w:rPr>
          <w:rFonts w:ascii="黑体" w:hAnsi="黑体" w:eastAsia="黑体" w:cs="黑体"/>
          <w:b w:val="0"/>
          <w:bCs w:val="0"/>
        </w:rPr>
      </w:pPr>
      <w:r>
        <w:rPr>
          <w:rFonts w:hint="eastAsia" w:ascii="黑体" w:hAnsi="黑体" w:eastAsia="黑体" w:cs="黑体"/>
          <w:b w:val="0"/>
          <w:bCs w:val="0"/>
        </w:rPr>
        <w:t>目  录</w:t>
      </w:r>
      <w:bookmarkEnd w:id="2"/>
    </w:p>
    <w:p>
      <w:pPr>
        <w:pStyle w:val="14"/>
        <w:tabs>
          <w:tab w:val="right" w:leader="dot" w:pos="8958"/>
          <w:tab w:val="clear" w:pos="8296"/>
        </w:tabs>
        <w:spacing w:after="0" w:line="580" w:lineRule="exact"/>
        <w:rPr>
          <w:rFonts w:ascii="仿宋" w:hAnsi="仿宋" w:eastAsia="仿宋" w:cs="仿宋"/>
          <w:b/>
          <w:bCs/>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fldChar w:fldCharType="begin"/>
      </w:r>
      <w:r>
        <w:instrText xml:space="preserve"> HYPERLINK \l "_Toc12880" </w:instrText>
      </w:r>
      <w:r>
        <w:fldChar w:fldCharType="separate"/>
      </w:r>
      <w:r>
        <w:rPr>
          <w:rFonts w:hint="eastAsia" w:ascii="仿宋_GB2312" w:hAnsi="仿宋_GB2312" w:eastAsia="仿宋_GB2312" w:cs="仿宋_GB2312"/>
          <w:b/>
          <w:bCs/>
          <w:sz w:val="32"/>
          <w:szCs w:val="32"/>
        </w:rPr>
        <w:t>前言</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_Toc12880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- 6 -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"_Toc29486" </w:instrText>
      </w:r>
      <w:r>
        <w:fldChar w:fldCharType="separate"/>
      </w:r>
      <w:r>
        <w:rPr>
          <w:rFonts w:hint="eastAsia" w:ascii="仿宋" w:hAnsi="仿宋" w:eastAsia="仿宋" w:cs="仿宋"/>
          <w:sz w:val="32"/>
          <w:szCs w:val="32"/>
        </w:rPr>
        <w:t>（一）规划背景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_Toc29486 \h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"_Toc15907" </w:instrText>
      </w:r>
      <w:r>
        <w:fldChar w:fldCharType="separate"/>
      </w:r>
      <w:r>
        <w:rPr>
          <w:rFonts w:hint="eastAsia" w:ascii="仿宋" w:hAnsi="仿宋" w:eastAsia="仿宋" w:cs="仿宋"/>
          <w:sz w:val="32"/>
          <w:szCs w:val="32"/>
        </w:rPr>
        <w:t>（二）规划意义</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_Toc15907 \h </w:instrText>
      </w:r>
      <w:r>
        <w:rPr>
          <w:rFonts w:hint="eastAsia" w:ascii="仿宋" w:hAnsi="仿宋" w:eastAsia="仿宋" w:cs="仿宋"/>
          <w:sz w:val="32"/>
          <w:szCs w:val="32"/>
        </w:rPr>
        <w:fldChar w:fldCharType="separate"/>
      </w:r>
      <w:r>
        <w:rPr>
          <w:rFonts w:hint="eastAsia" w:ascii="仿宋" w:hAnsi="仿宋" w:eastAsia="仿宋" w:cs="仿宋"/>
          <w:sz w:val="32"/>
          <w:szCs w:val="32"/>
        </w:rPr>
        <w:t>- 7 -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"_Toc17098" </w:instrText>
      </w:r>
      <w:r>
        <w:fldChar w:fldCharType="separate"/>
      </w:r>
      <w:r>
        <w:rPr>
          <w:rFonts w:hint="eastAsia" w:ascii="仿宋" w:hAnsi="仿宋" w:eastAsia="仿宋" w:cs="仿宋"/>
          <w:sz w:val="32"/>
          <w:szCs w:val="32"/>
        </w:rPr>
        <w:t>（三）规划期限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_Toc17098 \h </w:instrText>
      </w:r>
      <w:r>
        <w:rPr>
          <w:rFonts w:hint="eastAsia" w:ascii="仿宋" w:hAnsi="仿宋" w:eastAsia="仿宋" w:cs="仿宋"/>
          <w:sz w:val="32"/>
          <w:szCs w:val="32"/>
        </w:rPr>
        <w:fldChar w:fldCharType="separate"/>
      </w:r>
      <w:r>
        <w:rPr>
          <w:rFonts w:hint="eastAsia"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"_Toc6576" </w:instrText>
      </w:r>
      <w:r>
        <w:fldChar w:fldCharType="separate"/>
      </w:r>
      <w:r>
        <w:rPr>
          <w:rFonts w:hint="eastAsia" w:ascii="仿宋" w:hAnsi="仿宋" w:eastAsia="仿宋" w:cs="仿宋"/>
          <w:sz w:val="32"/>
          <w:szCs w:val="32"/>
        </w:rPr>
        <w:t>（四）规划依据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_Toc6576 \h </w:instrText>
      </w:r>
      <w:r>
        <w:rPr>
          <w:rFonts w:hint="eastAsia" w:ascii="仿宋" w:hAnsi="仿宋" w:eastAsia="仿宋" w:cs="仿宋"/>
          <w:sz w:val="32"/>
          <w:szCs w:val="32"/>
        </w:rPr>
        <w:fldChar w:fldCharType="separate"/>
      </w:r>
      <w:r>
        <w:rPr>
          <w:rFonts w:hint="eastAsia"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"_Toc26137" </w:instrText>
      </w:r>
      <w:r>
        <w:fldChar w:fldCharType="separate"/>
      </w:r>
      <w:r>
        <w:rPr>
          <w:rFonts w:hint="eastAsia" w:ascii="仿宋" w:hAnsi="仿宋" w:eastAsia="仿宋" w:cs="仿宋"/>
          <w:sz w:val="32"/>
          <w:szCs w:val="32"/>
        </w:rPr>
        <w:t>（五）概念说明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_Toc26137 \h </w:instrText>
      </w:r>
      <w:r>
        <w:rPr>
          <w:rFonts w:hint="eastAsia" w:ascii="仿宋" w:hAnsi="仿宋" w:eastAsia="仿宋" w:cs="仿宋"/>
          <w:sz w:val="32"/>
          <w:szCs w:val="32"/>
        </w:rPr>
        <w:fldChar w:fldCharType="separate"/>
      </w:r>
      <w:r>
        <w:rPr>
          <w:rFonts w:hint="eastAsia" w:ascii="仿宋" w:hAnsi="仿宋" w:eastAsia="仿宋" w:cs="仿宋"/>
          <w:sz w:val="32"/>
          <w:szCs w:val="32"/>
        </w:rPr>
        <w:t>- 10 -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"_Toc20092" </w:instrText>
      </w:r>
      <w:r>
        <w:fldChar w:fldCharType="separate"/>
      </w:r>
      <w:r>
        <w:rPr>
          <w:rFonts w:hint="eastAsia" w:ascii="仿宋" w:hAnsi="仿宋" w:eastAsia="仿宋" w:cs="仿宋"/>
          <w:b/>
          <w:bCs/>
          <w:sz w:val="32"/>
          <w:szCs w:val="32"/>
        </w:rPr>
        <w:t>一、基础与形势</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_Toc20092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- 10 -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"_Toc10666" </w:instrText>
      </w:r>
      <w:r>
        <w:fldChar w:fldCharType="separate"/>
      </w:r>
      <w:r>
        <w:rPr>
          <w:rFonts w:hint="eastAsia" w:ascii="仿宋" w:hAnsi="仿宋" w:eastAsia="仿宋" w:cs="仿宋"/>
          <w:sz w:val="32"/>
          <w:szCs w:val="32"/>
        </w:rPr>
        <w:t>（一）建设基础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_Toc10666 \h </w:instrText>
      </w:r>
      <w:r>
        <w:rPr>
          <w:rFonts w:hint="eastAsia" w:ascii="仿宋" w:hAnsi="仿宋" w:eastAsia="仿宋" w:cs="仿宋"/>
          <w:sz w:val="32"/>
          <w:szCs w:val="32"/>
        </w:rPr>
        <w:fldChar w:fldCharType="separate"/>
      </w:r>
      <w:r>
        <w:rPr>
          <w:rFonts w:hint="eastAsia" w:ascii="仿宋" w:hAnsi="仿宋" w:eastAsia="仿宋" w:cs="仿宋"/>
          <w:sz w:val="32"/>
          <w:szCs w:val="32"/>
        </w:rPr>
        <w:t>- 11 -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"_Toc9098" </w:instrText>
      </w:r>
      <w:r>
        <w:fldChar w:fldCharType="separate"/>
      </w:r>
      <w:r>
        <w:rPr>
          <w:rFonts w:hint="eastAsia" w:ascii="仿宋" w:hAnsi="仿宋" w:eastAsia="仿宋" w:cs="仿宋"/>
          <w:sz w:val="32"/>
          <w:szCs w:val="32"/>
        </w:rPr>
        <w:t>（二）发展环境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_Toc9098 \h </w:instrText>
      </w:r>
      <w:r>
        <w:rPr>
          <w:rFonts w:hint="eastAsia" w:ascii="仿宋" w:hAnsi="仿宋" w:eastAsia="仿宋" w:cs="仿宋"/>
          <w:sz w:val="32"/>
          <w:szCs w:val="32"/>
        </w:rPr>
        <w:fldChar w:fldCharType="separate"/>
      </w:r>
      <w:r>
        <w:rPr>
          <w:rFonts w:hint="eastAsia" w:ascii="仿宋" w:hAnsi="仿宋" w:eastAsia="仿宋" w:cs="仿宋"/>
          <w:sz w:val="32"/>
          <w:szCs w:val="32"/>
        </w:rPr>
        <w:t>- 14 -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"_Toc31325" </w:instrText>
      </w:r>
      <w:r>
        <w:fldChar w:fldCharType="separate"/>
      </w:r>
      <w:r>
        <w:rPr>
          <w:rFonts w:hint="eastAsia" w:ascii="仿宋" w:hAnsi="仿宋" w:eastAsia="仿宋" w:cs="仿宋"/>
          <w:b/>
          <w:bCs/>
          <w:sz w:val="32"/>
          <w:szCs w:val="32"/>
        </w:rPr>
        <w:t>二、总体思路</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_Toc31325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- 18 -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"_Toc13437" </w:instrText>
      </w:r>
      <w:r>
        <w:fldChar w:fldCharType="separate"/>
      </w:r>
      <w:r>
        <w:rPr>
          <w:rFonts w:hint="eastAsia" w:ascii="仿宋" w:hAnsi="仿宋" w:eastAsia="仿宋" w:cs="仿宋"/>
          <w:sz w:val="32"/>
          <w:szCs w:val="32"/>
        </w:rPr>
        <w:t>（一）指导思想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_Toc13437 \h </w:instrText>
      </w:r>
      <w:r>
        <w:rPr>
          <w:rFonts w:hint="eastAsia" w:ascii="仿宋" w:hAnsi="仿宋" w:eastAsia="仿宋" w:cs="仿宋"/>
          <w:sz w:val="32"/>
          <w:szCs w:val="32"/>
        </w:rPr>
        <w:fldChar w:fldCharType="separate"/>
      </w:r>
      <w:r>
        <w:rPr>
          <w:rFonts w:hint="eastAsia" w:ascii="仿宋" w:hAnsi="仿宋" w:eastAsia="仿宋" w:cs="仿宋"/>
          <w:sz w:val="32"/>
          <w:szCs w:val="32"/>
        </w:rPr>
        <w:t>- 18 -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"_Toc26243" </w:instrText>
      </w:r>
      <w:r>
        <w:fldChar w:fldCharType="separate"/>
      </w:r>
      <w:r>
        <w:rPr>
          <w:rFonts w:hint="eastAsia" w:ascii="仿宋" w:hAnsi="仿宋" w:eastAsia="仿宋" w:cs="仿宋"/>
          <w:sz w:val="32"/>
          <w:szCs w:val="32"/>
        </w:rPr>
        <w:t>（二）战略定位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_Toc26243 \h </w:instrText>
      </w:r>
      <w:r>
        <w:rPr>
          <w:rFonts w:hint="eastAsia" w:ascii="仿宋" w:hAnsi="仿宋" w:eastAsia="仿宋" w:cs="仿宋"/>
          <w:sz w:val="32"/>
          <w:szCs w:val="32"/>
        </w:rPr>
        <w:fldChar w:fldCharType="separate"/>
      </w:r>
      <w:r>
        <w:rPr>
          <w:rFonts w:hint="eastAsia" w:ascii="仿宋" w:hAnsi="仿宋" w:eastAsia="仿宋" w:cs="仿宋"/>
          <w:sz w:val="32"/>
          <w:szCs w:val="32"/>
        </w:rPr>
        <w:t>- 18 -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"_Toc6835" </w:instrText>
      </w:r>
      <w:r>
        <w:fldChar w:fldCharType="separate"/>
      </w:r>
      <w:r>
        <w:rPr>
          <w:rFonts w:hint="eastAsia" w:ascii="仿宋" w:hAnsi="仿宋" w:eastAsia="仿宋" w:cs="仿宋"/>
          <w:sz w:val="32"/>
          <w:szCs w:val="32"/>
        </w:rPr>
        <w:t>（三）基本原则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_Toc6835 \h </w:instrText>
      </w:r>
      <w:r>
        <w:rPr>
          <w:rFonts w:hint="eastAsia" w:ascii="仿宋" w:hAnsi="仿宋" w:eastAsia="仿宋" w:cs="仿宋"/>
          <w:sz w:val="32"/>
          <w:szCs w:val="32"/>
        </w:rPr>
        <w:fldChar w:fldCharType="separate"/>
      </w:r>
      <w:r>
        <w:rPr>
          <w:rFonts w:hint="eastAsia" w:ascii="仿宋" w:hAnsi="仿宋" w:eastAsia="仿宋" w:cs="仿宋"/>
          <w:sz w:val="32"/>
          <w:szCs w:val="32"/>
        </w:rPr>
        <w:t>- 19 -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"_Toc7432" </w:instrText>
      </w:r>
      <w:r>
        <w:fldChar w:fldCharType="separate"/>
      </w:r>
      <w:r>
        <w:rPr>
          <w:rFonts w:hint="eastAsia" w:ascii="仿宋" w:hAnsi="仿宋" w:eastAsia="仿宋" w:cs="仿宋"/>
          <w:sz w:val="32"/>
          <w:szCs w:val="32"/>
        </w:rPr>
        <w:t>（四）建设目标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_Toc7432 \h </w:instrText>
      </w:r>
      <w:r>
        <w:rPr>
          <w:rFonts w:hint="eastAsia" w:ascii="仿宋" w:hAnsi="仿宋" w:eastAsia="仿宋" w:cs="仿宋"/>
          <w:sz w:val="32"/>
          <w:szCs w:val="32"/>
        </w:rPr>
        <w:fldChar w:fldCharType="separate"/>
      </w:r>
      <w:r>
        <w:rPr>
          <w:rFonts w:hint="eastAsia" w:ascii="仿宋" w:hAnsi="仿宋" w:eastAsia="仿宋" w:cs="仿宋"/>
          <w:sz w:val="32"/>
          <w:szCs w:val="32"/>
        </w:rPr>
        <w:t>- 21 -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"_Toc75" </w:instrText>
      </w:r>
      <w:r>
        <w:fldChar w:fldCharType="separate"/>
      </w:r>
      <w:r>
        <w:rPr>
          <w:rFonts w:hint="eastAsia" w:ascii="仿宋" w:hAnsi="仿宋" w:eastAsia="仿宋" w:cs="仿宋"/>
          <w:b/>
          <w:bCs/>
          <w:sz w:val="32"/>
          <w:szCs w:val="32"/>
        </w:rPr>
        <w:t>三、空间布局</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- 24 -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"_Toc751" </w:instrText>
      </w:r>
      <w:r>
        <w:fldChar w:fldCharType="separate"/>
      </w:r>
      <w:r>
        <w:rPr>
          <w:rFonts w:hint="eastAsia" w:ascii="仿宋" w:hAnsi="仿宋" w:eastAsia="仿宋" w:cs="仿宋"/>
          <w:sz w:val="32"/>
          <w:szCs w:val="32"/>
        </w:rPr>
        <w:t>（一）空间结构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_Toc751 \h </w:instrText>
      </w:r>
      <w:r>
        <w:rPr>
          <w:rFonts w:hint="eastAsia" w:ascii="仿宋" w:hAnsi="仿宋" w:eastAsia="仿宋" w:cs="仿宋"/>
          <w:sz w:val="32"/>
          <w:szCs w:val="32"/>
        </w:rPr>
        <w:fldChar w:fldCharType="separate"/>
      </w:r>
      <w:r>
        <w:rPr>
          <w:rFonts w:hint="eastAsia" w:ascii="仿宋" w:hAnsi="仿宋" w:eastAsia="仿宋" w:cs="仿宋"/>
          <w:sz w:val="32"/>
          <w:szCs w:val="32"/>
        </w:rPr>
        <w:t>- 24 -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"_Toc29741" </w:instrText>
      </w:r>
      <w:r>
        <w:fldChar w:fldCharType="separate"/>
      </w:r>
      <w:r>
        <w:rPr>
          <w:rFonts w:hint="eastAsia" w:ascii="仿宋" w:hAnsi="仿宋" w:eastAsia="仿宋" w:cs="仿宋"/>
          <w:sz w:val="32"/>
          <w:szCs w:val="32"/>
        </w:rPr>
        <w:t>（二）功能分区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_Toc29741 \h </w:instrText>
      </w:r>
      <w:r>
        <w:rPr>
          <w:rFonts w:hint="eastAsia" w:ascii="仿宋" w:hAnsi="仿宋" w:eastAsia="仿宋" w:cs="仿宋"/>
          <w:sz w:val="32"/>
          <w:szCs w:val="32"/>
        </w:rPr>
        <w:fldChar w:fldCharType="separate"/>
      </w:r>
      <w:r>
        <w:rPr>
          <w:rFonts w:hint="eastAsia" w:ascii="仿宋" w:hAnsi="仿宋" w:eastAsia="仿宋" w:cs="仿宋"/>
          <w:sz w:val="32"/>
          <w:szCs w:val="32"/>
        </w:rPr>
        <w:t>- 25 -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"_Toc31140" </w:instrText>
      </w:r>
      <w:r>
        <w:fldChar w:fldCharType="separate"/>
      </w:r>
      <w:r>
        <w:rPr>
          <w:rFonts w:hint="eastAsia" w:ascii="仿宋" w:hAnsi="仿宋" w:eastAsia="仿宋" w:cs="仿宋"/>
          <w:b/>
          <w:bCs/>
          <w:sz w:val="32"/>
          <w:szCs w:val="32"/>
        </w:rPr>
        <w:t>四、高标准夯实公共生态产品供给能力</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_Toc31140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- 26 -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"_Toc20372" </w:instrText>
      </w:r>
      <w:r>
        <w:fldChar w:fldCharType="separate"/>
      </w:r>
      <w:r>
        <w:rPr>
          <w:rFonts w:hint="eastAsia" w:ascii="仿宋" w:hAnsi="仿宋" w:eastAsia="仿宋" w:cs="仿宋"/>
          <w:sz w:val="32"/>
          <w:szCs w:val="32"/>
        </w:rPr>
        <w:t>（一）植被固碳量释氧量递增工程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_Toc20372 \h </w:instrText>
      </w:r>
      <w:r>
        <w:rPr>
          <w:rFonts w:hint="eastAsia" w:ascii="仿宋" w:hAnsi="仿宋" w:eastAsia="仿宋" w:cs="仿宋"/>
          <w:sz w:val="32"/>
          <w:szCs w:val="32"/>
        </w:rPr>
        <w:fldChar w:fldCharType="separate"/>
      </w:r>
      <w:r>
        <w:rPr>
          <w:rFonts w:hint="eastAsia" w:ascii="仿宋" w:hAnsi="仿宋" w:eastAsia="仿宋" w:cs="仿宋"/>
          <w:sz w:val="32"/>
          <w:szCs w:val="32"/>
        </w:rPr>
        <w:t>- 26 -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"_Toc1271" </w:instrText>
      </w:r>
      <w:r>
        <w:fldChar w:fldCharType="separate"/>
      </w:r>
      <w:r>
        <w:rPr>
          <w:rFonts w:hint="eastAsia" w:ascii="仿宋" w:hAnsi="仿宋" w:eastAsia="仿宋" w:cs="仿宋"/>
          <w:sz w:val="32"/>
          <w:szCs w:val="32"/>
        </w:rPr>
        <w:t>（二）森林“含金量”提升工程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_Toc1271 \h </w:instrText>
      </w:r>
      <w:r>
        <w:rPr>
          <w:rFonts w:hint="eastAsia" w:ascii="仿宋" w:hAnsi="仿宋" w:eastAsia="仿宋" w:cs="仿宋"/>
          <w:sz w:val="32"/>
          <w:szCs w:val="32"/>
        </w:rPr>
        <w:fldChar w:fldCharType="separate"/>
      </w:r>
      <w:r>
        <w:rPr>
          <w:rFonts w:hint="eastAsia" w:ascii="仿宋" w:hAnsi="仿宋" w:eastAsia="仿宋" w:cs="仿宋"/>
          <w:sz w:val="32"/>
          <w:szCs w:val="32"/>
        </w:rPr>
        <w:t>- 28 -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hint="eastAsia" w:ascii="仿宋" w:hAnsi="仿宋" w:eastAsia="仿宋" w:cs="仿宋"/>
          <w:sz w:val="32"/>
          <w:szCs w:val="32"/>
        </w:rPr>
      </w:pPr>
      <w:r>
        <w:fldChar w:fldCharType="begin"/>
      </w:r>
      <w:r>
        <w:instrText xml:space="preserve"> HYPERLINK \l "_Toc16553" </w:instrText>
      </w:r>
      <w:r>
        <w:fldChar w:fldCharType="separate"/>
      </w:r>
      <w:r>
        <w:rPr>
          <w:rFonts w:hint="eastAsia" w:ascii="仿宋" w:hAnsi="仿宋" w:eastAsia="仿宋" w:cs="仿宋"/>
          <w:sz w:val="32"/>
          <w:szCs w:val="32"/>
        </w:rPr>
        <w:t>（三）清新空气示范区创建工程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_Toc16553 \h </w:instrText>
      </w:r>
      <w:r>
        <w:rPr>
          <w:rFonts w:hint="eastAsia" w:ascii="仿宋" w:hAnsi="仿宋" w:eastAsia="仿宋" w:cs="仿宋"/>
          <w:sz w:val="32"/>
          <w:szCs w:val="32"/>
        </w:rPr>
        <w:fldChar w:fldCharType="separate"/>
      </w:r>
      <w:r>
        <w:rPr>
          <w:rFonts w:hint="eastAsia" w:ascii="仿宋" w:hAnsi="仿宋" w:eastAsia="仿宋" w:cs="仿宋"/>
          <w:sz w:val="32"/>
          <w:szCs w:val="32"/>
        </w:rPr>
        <w:t>- 31 -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"_Toc13745" </w:instrText>
      </w:r>
      <w:r>
        <w:fldChar w:fldCharType="separate"/>
      </w:r>
      <w:r>
        <w:rPr>
          <w:rFonts w:hint="eastAsia" w:ascii="仿宋" w:hAnsi="仿宋" w:eastAsia="仿宋" w:cs="仿宋"/>
          <w:sz w:val="32"/>
          <w:szCs w:val="32"/>
        </w:rPr>
        <w:t>（四）“清流永续北上”源头保障工程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_Toc13745 \h </w:instrText>
      </w:r>
      <w:r>
        <w:rPr>
          <w:rFonts w:hint="eastAsia" w:ascii="仿宋" w:hAnsi="仿宋" w:eastAsia="仿宋" w:cs="仿宋"/>
          <w:sz w:val="32"/>
          <w:szCs w:val="32"/>
        </w:rPr>
        <w:fldChar w:fldCharType="separate"/>
      </w:r>
      <w:r>
        <w:rPr>
          <w:rFonts w:hint="eastAsia" w:ascii="仿宋" w:hAnsi="仿宋" w:eastAsia="仿宋" w:cs="仿宋"/>
          <w:sz w:val="32"/>
          <w:szCs w:val="32"/>
        </w:rPr>
        <w:t>- 33 -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"_Toc27437" </w:instrText>
      </w:r>
      <w:r>
        <w:fldChar w:fldCharType="separate"/>
      </w:r>
      <w:r>
        <w:rPr>
          <w:rFonts w:hint="eastAsia" w:ascii="仿宋" w:hAnsi="仿宋" w:eastAsia="仿宋" w:cs="仿宋"/>
          <w:sz w:val="32"/>
          <w:szCs w:val="32"/>
        </w:rPr>
        <w:t>（五）土壤污染综合防治工程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_Toc27437 \h </w:instrText>
      </w:r>
      <w:r>
        <w:rPr>
          <w:rFonts w:hint="eastAsia" w:ascii="仿宋" w:hAnsi="仿宋" w:eastAsia="仿宋" w:cs="仿宋"/>
          <w:sz w:val="32"/>
          <w:szCs w:val="32"/>
        </w:rPr>
        <w:fldChar w:fldCharType="separate"/>
      </w:r>
      <w:r>
        <w:rPr>
          <w:rFonts w:hint="eastAsia" w:ascii="仿宋" w:hAnsi="仿宋" w:eastAsia="仿宋" w:cs="仿宋"/>
          <w:sz w:val="32"/>
          <w:szCs w:val="32"/>
        </w:rPr>
        <w:t>- 36 -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"_Toc9771" </w:instrText>
      </w:r>
      <w:r>
        <w:fldChar w:fldCharType="separate"/>
      </w:r>
      <w:r>
        <w:rPr>
          <w:rFonts w:hint="eastAsia" w:ascii="仿宋" w:hAnsi="仿宋" w:eastAsia="仿宋" w:cs="仿宋"/>
          <w:b/>
          <w:bCs/>
          <w:sz w:val="32"/>
          <w:szCs w:val="32"/>
        </w:rPr>
        <w:t>五、高质量提升经营性生态产品供给能力</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_Toc9771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- 39 -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"_Toc22346" </w:instrText>
      </w:r>
      <w:r>
        <w:fldChar w:fldCharType="separate"/>
      </w:r>
      <w:r>
        <w:rPr>
          <w:rFonts w:hint="eastAsia" w:ascii="仿宋" w:hAnsi="仿宋" w:eastAsia="仿宋" w:cs="仿宋"/>
          <w:sz w:val="32"/>
          <w:szCs w:val="32"/>
        </w:rPr>
        <w:t>（一）有机产业全产业链提升工程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_Toc22346 \h </w:instrText>
      </w:r>
      <w:r>
        <w:rPr>
          <w:rFonts w:hint="eastAsia" w:ascii="仿宋" w:hAnsi="仿宋" w:eastAsia="仿宋" w:cs="仿宋"/>
          <w:sz w:val="32"/>
          <w:szCs w:val="32"/>
        </w:rPr>
        <w:fldChar w:fldCharType="separate"/>
      </w:r>
      <w:r>
        <w:rPr>
          <w:rFonts w:hint="eastAsia" w:ascii="仿宋" w:hAnsi="仿宋" w:eastAsia="仿宋" w:cs="仿宋"/>
          <w:sz w:val="32"/>
          <w:szCs w:val="32"/>
        </w:rPr>
        <w:t>- 39 -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"_Toc83" </w:instrText>
      </w:r>
      <w:r>
        <w:fldChar w:fldCharType="separate"/>
      </w:r>
      <w:r>
        <w:rPr>
          <w:rFonts w:hint="eastAsia" w:ascii="仿宋" w:hAnsi="仿宋" w:eastAsia="仿宋" w:cs="仿宋"/>
          <w:sz w:val="32"/>
          <w:szCs w:val="32"/>
        </w:rPr>
        <w:t>（二）有机产业高端品牌培育工程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 \h </w:instrText>
      </w:r>
      <w:r>
        <w:rPr>
          <w:rFonts w:hint="eastAsia" w:ascii="仿宋" w:hAnsi="仿宋" w:eastAsia="仿宋" w:cs="仿宋"/>
          <w:sz w:val="32"/>
          <w:szCs w:val="32"/>
        </w:rPr>
        <w:fldChar w:fldCharType="separate"/>
      </w:r>
      <w:r>
        <w:rPr>
          <w:rFonts w:hint="eastAsia" w:ascii="仿宋" w:hAnsi="仿宋" w:eastAsia="仿宋" w:cs="仿宋"/>
          <w:sz w:val="32"/>
          <w:szCs w:val="32"/>
        </w:rPr>
        <w:t>- 43 -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"_Toc26618" </w:instrText>
      </w:r>
      <w:r>
        <w:fldChar w:fldCharType="separate"/>
      </w:r>
      <w:r>
        <w:rPr>
          <w:rFonts w:hint="eastAsia" w:ascii="仿宋" w:hAnsi="仿宋" w:eastAsia="仿宋" w:cs="仿宋"/>
          <w:sz w:val="32"/>
          <w:szCs w:val="32"/>
        </w:rPr>
        <w:t>（三）生态旅游多元融合发展工程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_Toc26618 \h </w:instrText>
      </w:r>
      <w:r>
        <w:rPr>
          <w:rFonts w:hint="eastAsia" w:ascii="仿宋" w:hAnsi="仿宋" w:eastAsia="仿宋" w:cs="仿宋"/>
          <w:sz w:val="32"/>
          <w:szCs w:val="32"/>
        </w:rPr>
        <w:fldChar w:fldCharType="separate"/>
      </w:r>
      <w:r>
        <w:rPr>
          <w:rFonts w:hint="eastAsia" w:ascii="仿宋" w:hAnsi="仿宋" w:eastAsia="仿宋" w:cs="仿宋"/>
          <w:sz w:val="32"/>
          <w:szCs w:val="32"/>
        </w:rPr>
        <w:t>- 47 -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"_Toc243" </w:instrText>
      </w:r>
      <w:r>
        <w:fldChar w:fldCharType="separate"/>
      </w:r>
      <w:r>
        <w:rPr>
          <w:rFonts w:hint="eastAsia" w:ascii="仿宋" w:hAnsi="仿宋" w:eastAsia="仿宋" w:cs="仿宋"/>
          <w:sz w:val="32"/>
          <w:szCs w:val="32"/>
        </w:rPr>
        <w:t>（四）工业绿色化发展示范工程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_Toc243 \h </w:instrText>
      </w:r>
      <w:r>
        <w:rPr>
          <w:rFonts w:hint="eastAsia" w:ascii="仿宋" w:hAnsi="仿宋" w:eastAsia="仿宋" w:cs="仿宋"/>
          <w:sz w:val="32"/>
          <w:szCs w:val="32"/>
        </w:rPr>
        <w:fldChar w:fldCharType="separate"/>
      </w:r>
      <w:r>
        <w:rPr>
          <w:rFonts w:hint="eastAsia" w:ascii="仿宋" w:hAnsi="仿宋" w:eastAsia="仿宋" w:cs="仿宋"/>
          <w:sz w:val="32"/>
          <w:szCs w:val="32"/>
        </w:rPr>
        <w:t>- 53 -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"_Toc7596" </w:instrText>
      </w:r>
      <w:r>
        <w:fldChar w:fldCharType="separate"/>
      </w:r>
      <w:r>
        <w:rPr>
          <w:rFonts w:hint="eastAsia" w:ascii="仿宋" w:hAnsi="仿宋" w:eastAsia="仿宋" w:cs="仿宋"/>
          <w:b/>
          <w:bCs/>
          <w:sz w:val="32"/>
          <w:szCs w:val="32"/>
        </w:rPr>
        <w:t>六、高效率打通“两山”转化通道</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_Toc7596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- 57 -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"_Toc19015" </w:instrText>
      </w:r>
      <w:r>
        <w:fldChar w:fldCharType="separate"/>
      </w:r>
      <w:r>
        <w:rPr>
          <w:rFonts w:hint="eastAsia" w:ascii="仿宋" w:hAnsi="仿宋" w:eastAsia="仿宋" w:cs="仿宋"/>
          <w:sz w:val="32"/>
          <w:szCs w:val="32"/>
        </w:rPr>
        <w:t>（一）市场化交易通道参与工程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_Toc19015 \h </w:instrText>
      </w:r>
      <w:r>
        <w:rPr>
          <w:rFonts w:hint="eastAsia" w:ascii="仿宋" w:hAnsi="仿宋" w:eastAsia="仿宋" w:cs="仿宋"/>
          <w:sz w:val="32"/>
          <w:szCs w:val="32"/>
        </w:rPr>
        <w:fldChar w:fldCharType="separate"/>
      </w:r>
      <w:r>
        <w:rPr>
          <w:rFonts w:hint="eastAsia" w:ascii="仿宋" w:hAnsi="仿宋" w:eastAsia="仿宋" w:cs="仿宋"/>
          <w:sz w:val="32"/>
          <w:szCs w:val="32"/>
        </w:rPr>
        <w:t>- 57 -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"_Toc20239" </w:instrText>
      </w:r>
      <w:r>
        <w:fldChar w:fldCharType="separate"/>
      </w:r>
      <w:r>
        <w:rPr>
          <w:rFonts w:hint="eastAsia" w:ascii="仿宋" w:hAnsi="仿宋" w:eastAsia="仿宋" w:cs="仿宋"/>
          <w:sz w:val="32"/>
          <w:szCs w:val="32"/>
        </w:rPr>
        <w:t>（二）生态补偿通道推进工程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_Toc20239 \h </w:instrText>
      </w:r>
      <w:r>
        <w:rPr>
          <w:rFonts w:hint="eastAsia" w:ascii="仿宋" w:hAnsi="仿宋" w:eastAsia="仿宋" w:cs="仿宋"/>
          <w:sz w:val="32"/>
          <w:szCs w:val="32"/>
        </w:rPr>
        <w:fldChar w:fldCharType="separate"/>
      </w:r>
      <w:r>
        <w:rPr>
          <w:rFonts w:hint="eastAsia" w:ascii="仿宋" w:hAnsi="仿宋" w:eastAsia="仿宋" w:cs="仿宋"/>
          <w:sz w:val="32"/>
          <w:szCs w:val="32"/>
        </w:rPr>
        <w:t>- 61 -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"_Toc10272" </w:instrText>
      </w:r>
      <w:r>
        <w:fldChar w:fldCharType="separate"/>
      </w:r>
      <w:r>
        <w:rPr>
          <w:rFonts w:hint="eastAsia" w:ascii="仿宋" w:hAnsi="仿宋" w:eastAsia="仿宋" w:cs="仿宋"/>
          <w:sz w:val="32"/>
          <w:szCs w:val="32"/>
        </w:rPr>
        <w:t>（三）生态赋能产业通道塑造工程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_Toc10272 \h </w:instrText>
      </w:r>
      <w:r>
        <w:rPr>
          <w:rFonts w:hint="eastAsia" w:ascii="仿宋" w:hAnsi="仿宋" w:eastAsia="仿宋" w:cs="仿宋"/>
          <w:sz w:val="32"/>
          <w:szCs w:val="32"/>
        </w:rPr>
        <w:fldChar w:fldCharType="separate"/>
      </w:r>
      <w:r>
        <w:rPr>
          <w:rFonts w:hint="eastAsia" w:ascii="仿宋" w:hAnsi="仿宋" w:eastAsia="仿宋" w:cs="仿宋"/>
          <w:sz w:val="32"/>
          <w:szCs w:val="32"/>
        </w:rPr>
        <w:t>- 63 -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"_Toc4389" </w:instrText>
      </w:r>
      <w:r>
        <w:fldChar w:fldCharType="separate"/>
      </w:r>
      <w:r>
        <w:rPr>
          <w:rFonts w:hint="eastAsia" w:ascii="仿宋" w:hAnsi="仿宋" w:eastAsia="仿宋" w:cs="仿宋"/>
          <w:sz w:val="32"/>
          <w:szCs w:val="32"/>
        </w:rPr>
        <w:t>（四）生态兴村富民通道打造工程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_Toc4389 \h </w:instrText>
      </w:r>
      <w:r>
        <w:rPr>
          <w:rFonts w:hint="eastAsia" w:ascii="仿宋" w:hAnsi="仿宋" w:eastAsia="仿宋" w:cs="仿宋"/>
          <w:sz w:val="32"/>
          <w:szCs w:val="32"/>
        </w:rPr>
        <w:fldChar w:fldCharType="separate"/>
      </w:r>
      <w:r>
        <w:rPr>
          <w:rFonts w:hint="eastAsia" w:ascii="仿宋" w:hAnsi="仿宋" w:eastAsia="仿宋" w:cs="仿宋"/>
          <w:sz w:val="32"/>
          <w:szCs w:val="32"/>
        </w:rPr>
        <w:t>- 64 -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"_Toc14875" </w:instrText>
      </w:r>
      <w:r>
        <w:fldChar w:fldCharType="separate"/>
      </w:r>
      <w:r>
        <w:rPr>
          <w:rFonts w:hint="eastAsia" w:ascii="仿宋" w:hAnsi="仿宋" w:eastAsia="仿宋" w:cs="仿宋"/>
          <w:b/>
          <w:bCs/>
          <w:sz w:val="32"/>
          <w:szCs w:val="32"/>
        </w:rPr>
        <w:t>七、高起点打造重大功能平台</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_Toc14875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- 67 -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"_Toc4372" </w:instrText>
      </w:r>
      <w:r>
        <w:fldChar w:fldCharType="separate"/>
      </w:r>
      <w:r>
        <w:rPr>
          <w:rFonts w:hint="eastAsia" w:ascii="仿宋" w:hAnsi="仿宋" w:eastAsia="仿宋" w:cs="仿宋"/>
          <w:sz w:val="32"/>
          <w:szCs w:val="32"/>
        </w:rPr>
        <w:t>（一）国家特色高质有机食品生产基地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_Toc4372 \h </w:instrText>
      </w:r>
      <w:r>
        <w:rPr>
          <w:rFonts w:hint="eastAsia" w:ascii="仿宋" w:hAnsi="仿宋" w:eastAsia="仿宋" w:cs="仿宋"/>
          <w:sz w:val="32"/>
          <w:szCs w:val="32"/>
        </w:rPr>
        <w:fldChar w:fldCharType="separate"/>
      </w:r>
      <w:r>
        <w:rPr>
          <w:rFonts w:hint="eastAsia" w:ascii="仿宋" w:hAnsi="仿宋" w:eastAsia="仿宋" w:cs="仿宋"/>
          <w:sz w:val="32"/>
          <w:szCs w:val="32"/>
        </w:rPr>
        <w:t>- 67 -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"_Toc23750" </w:instrText>
      </w:r>
      <w:r>
        <w:fldChar w:fldCharType="separate"/>
      </w:r>
      <w:r>
        <w:rPr>
          <w:rFonts w:hint="eastAsia" w:ascii="仿宋" w:hAnsi="仿宋" w:eastAsia="仿宋" w:cs="仿宋"/>
          <w:sz w:val="32"/>
          <w:szCs w:val="32"/>
        </w:rPr>
        <w:t>（二）秦巴中医药产业谷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_Toc23750 \h </w:instrText>
      </w:r>
      <w:r>
        <w:rPr>
          <w:rFonts w:hint="eastAsia" w:ascii="仿宋" w:hAnsi="仿宋" w:eastAsia="仿宋" w:cs="仿宋"/>
          <w:sz w:val="32"/>
          <w:szCs w:val="32"/>
        </w:rPr>
        <w:fldChar w:fldCharType="separate"/>
      </w:r>
      <w:r>
        <w:rPr>
          <w:rFonts w:hint="eastAsia" w:ascii="仿宋" w:hAnsi="仿宋" w:eastAsia="仿宋" w:cs="仿宋"/>
          <w:sz w:val="32"/>
          <w:szCs w:val="32"/>
        </w:rPr>
        <w:t>- 69 -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"_Toc30027" </w:instrText>
      </w:r>
      <w:r>
        <w:fldChar w:fldCharType="separate"/>
      </w:r>
      <w:r>
        <w:rPr>
          <w:rFonts w:hint="eastAsia" w:ascii="仿宋" w:hAnsi="仿宋" w:eastAsia="仿宋" w:cs="仿宋"/>
          <w:sz w:val="32"/>
          <w:szCs w:val="32"/>
        </w:rPr>
        <w:t>（三）陕西生态康养特色小镇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_Toc30027 \h </w:instrText>
      </w:r>
      <w:r>
        <w:rPr>
          <w:rFonts w:hint="eastAsia" w:ascii="仿宋" w:hAnsi="仿宋" w:eastAsia="仿宋" w:cs="仿宋"/>
          <w:sz w:val="32"/>
          <w:szCs w:val="32"/>
        </w:rPr>
        <w:fldChar w:fldCharType="separate"/>
      </w:r>
      <w:r>
        <w:rPr>
          <w:rFonts w:hint="eastAsia" w:ascii="仿宋" w:hAnsi="仿宋" w:eastAsia="仿宋" w:cs="仿宋"/>
          <w:sz w:val="32"/>
          <w:szCs w:val="32"/>
        </w:rPr>
        <w:t>- 71 -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"_Toc12447" </w:instrText>
      </w:r>
      <w:r>
        <w:fldChar w:fldCharType="separate"/>
      </w:r>
      <w:r>
        <w:rPr>
          <w:rFonts w:hint="eastAsia" w:ascii="仿宋" w:hAnsi="仿宋" w:eastAsia="仿宋" w:cs="仿宋"/>
          <w:sz w:val="32"/>
          <w:szCs w:val="32"/>
        </w:rPr>
        <w:t>（四）两山生态资源运营管理公司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_Toc12447 \h </w:instrText>
      </w:r>
      <w:r>
        <w:rPr>
          <w:rFonts w:hint="eastAsia" w:ascii="仿宋" w:hAnsi="仿宋" w:eastAsia="仿宋" w:cs="仿宋"/>
          <w:sz w:val="32"/>
          <w:szCs w:val="32"/>
        </w:rPr>
        <w:fldChar w:fldCharType="separate"/>
      </w:r>
      <w:r>
        <w:rPr>
          <w:rFonts w:hint="eastAsia" w:ascii="仿宋" w:hAnsi="仿宋" w:eastAsia="仿宋" w:cs="仿宋"/>
          <w:sz w:val="32"/>
          <w:szCs w:val="32"/>
        </w:rPr>
        <w:t>- 72 -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"_Toc18670" </w:instrText>
      </w:r>
      <w:r>
        <w:fldChar w:fldCharType="separate"/>
      </w:r>
      <w:r>
        <w:rPr>
          <w:rFonts w:hint="eastAsia" w:ascii="仿宋" w:hAnsi="仿宋" w:eastAsia="仿宋" w:cs="仿宋"/>
          <w:sz w:val="32"/>
          <w:szCs w:val="32"/>
        </w:rPr>
        <w:t>（五）秦岭生态产品交易中心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_Toc18670 \h </w:instrText>
      </w:r>
      <w:r>
        <w:rPr>
          <w:rFonts w:hint="eastAsia" w:ascii="仿宋" w:hAnsi="仿宋" w:eastAsia="仿宋" w:cs="仿宋"/>
          <w:sz w:val="32"/>
          <w:szCs w:val="32"/>
        </w:rPr>
        <w:fldChar w:fldCharType="separate"/>
      </w:r>
      <w:r>
        <w:rPr>
          <w:rFonts w:hint="eastAsia" w:ascii="仿宋" w:hAnsi="仿宋" w:eastAsia="仿宋" w:cs="仿宋"/>
          <w:sz w:val="32"/>
          <w:szCs w:val="32"/>
        </w:rPr>
        <w:t>- 74 -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"_Toc22094" </w:instrText>
      </w:r>
      <w:r>
        <w:fldChar w:fldCharType="separate"/>
      </w:r>
      <w:r>
        <w:rPr>
          <w:rFonts w:hint="eastAsia" w:ascii="仿宋" w:hAnsi="仿宋" w:eastAsia="仿宋" w:cs="仿宋"/>
          <w:sz w:val="32"/>
          <w:szCs w:val="32"/>
        </w:rPr>
        <w:t>（六）全国生物多样性保护示范区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_Toc22094 \h </w:instrText>
      </w:r>
      <w:r>
        <w:rPr>
          <w:rFonts w:hint="eastAsia" w:ascii="仿宋" w:hAnsi="仿宋" w:eastAsia="仿宋" w:cs="仿宋"/>
          <w:sz w:val="32"/>
          <w:szCs w:val="32"/>
        </w:rPr>
        <w:fldChar w:fldCharType="separate"/>
      </w:r>
      <w:r>
        <w:rPr>
          <w:rFonts w:hint="eastAsia" w:ascii="仿宋" w:hAnsi="仿宋" w:eastAsia="仿宋" w:cs="仿宋"/>
          <w:sz w:val="32"/>
          <w:szCs w:val="32"/>
        </w:rPr>
        <w:t>- 76 -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"_Toc19382" </w:instrText>
      </w:r>
      <w:r>
        <w:fldChar w:fldCharType="separate"/>
      </w:r>
      <w:r>
        <w:rPr>
          <w:rFonts w:hint="eastAsia" w:ascii="仿宋" w:hAnsi="仿宋" w:eastAsia="仿宋" w:cs="仿宋"/>
          <w:b/>
          <w:bCs/>
          <w:sz w:val="32"/>
          <w:szCs w:val="32"/>
        </w:rPr>
        <w:t>八、高水平示范生态产品价值实现机制</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_Toc19382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- 78 -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"_Toc29079" </w:instrText>
      </w:r>
      <w:r>
        <w:fldChar w:fldCharType="separate"/>
      </w:r>
      <w:r>
        <w:rPr>
          <w:rFonts w:hint="eastAsia" w:ascii="仿宋" w:hAnsi="仿宋" w:eastAsia="仿宋" w:cs="仿宋"/>
          <w:sz w:val="32"/>
          <w:szCs w:val="32"/>
        </w:rPr>
        <w:t>（一）夯实生态产品价值“基础性机制”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_Toc29079 \h </w:instrText>
      </w:r>
      <w:r>
        <w:rPr>
          <w:rFonts w:hint="eastAsia" w:ascii="仿宋" w:hAnsi="仿宋" w:eastAsia="仿宋" w:cs="仿宋"/>
          <w:sz w:val="32"/>
          <w:szCs w:val="32"/>
        </w:rPr>
        <w:fldChar w:fldCharType="separate"/>
      </w:r>
      <w:r>
        <w:rPr>
          <w:rFonts w:hint="eastAsia" w:ascii="仿宋" w:hAnsi="仿宋" w:eastAsia="仿宋" w:cs="仿宋"/>
          <w:sz w:val="32"/>
          <w:szCs w:val="32"/>
        </w:rPr>
        <w:t>- 78 -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hint="eastAsia" w:ascii="仿宋" w:hAnsi="仿宋" w:eastAsia="仿宋" w:cs="仿宋"/>
          <w:sz w:val="32"/>
          <w:szCs w:val="32"/>
        </w:rPr>
      </w:pPr>
      <w:r>
        <w:fldChar w:fldCharType="begin"/>
      </w:r>
      <w:r>
        <w:instrText xml:space="preserve"> HYPERLINK \l "_Toc4508" </w:instrText>
      </w:r>
      <w:r>
        <w:fldChar w:fldCharType="separate"/>
      </w:r>
      <w:r>
        <w:rPr>
          <w:rFonts w:hint="eastAsia" w:ascii="仿宋" w:hAnsi="仿宋" w:eastAsia="仿宋" w:cs="仿宋"/>
          <w:sz w:val="32"/>
          <w:szCs w:val="32"/>
        </w:rPr>
        <w:t>（二）建设生态产品价值“主体性机制”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_Toc4508 \h </w:instrText>
      </w:r>
      <w:r>
        <w:rPr>
          <w:rFonts w:hint="eastAsia" w:ascii="仿宋" w:hAnsi="仿宋" w:eastAsia="仿宋" w:cs="仿宋"/>
          <w:sz w:val="32"/>
          <w:szCs w:val="32"/>
        </w:rPr>
        <w:fldChar w:fldCharType="separate"/>
      </w:r>
      <w:r>
        <w:rPr>
          <w:rFonts w:hint="eastAsia" w:ascii="仿宋" w:hAnsi="仿宋" w:eastAsia="仿宋" w:cs="仿宋"/>
          <w:sz w:val="32"/>
          <w:szCs w:val="32"/>
        </w:rPr>
        <w:t>- 81 -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"_Toc20679" </w:instrText>
      </w:r>
      <w:r>
        <w:fldChar w:fldCharType="separate"/>
      </w:r>
      <w:r>
        <w:rPr>
          <w:rFonts w:hint="eastAsia" w:ascii="仿宋" w:hAnsi="仿宋" w:eastAsia="仿宋" w:cs="仿宋"/>
          <w:sz w:val="32"/>
          <w:szCs w:val="32"/>
        </w:rPr>
        <w:t>（三）完善生态产品价值“激励性机制”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_Toc20679 \h </w:instrText>
      </w:r>
      <w:r>
        <w:rPr>
          <w:rFonts w:hint="eastAsia" w:ascii="仿宋" w:hAnsi="仿宋" w:eastAsia="仿宋" w:cs="仿宋"/>
          <w:sz w:val="32"/>
          <w:szCs w:val="32"/>
        </w:rPr>
        <w:fldChar w:fldCharType="separate"/>
      </w:r>
      <w:r>
        <w:rPr>
          <w:rFonts w:hint="eastAsia" w:ascii="仿宋" w:hAnsi="仿宋" w:eastAsia="仿宋" w:cs="仿宋"/>
          <w:sz w:val="32"/>
          <w:szCs w:val="32"/>
        </w:rPr>
        <w:t>- 83 -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"_Toc30983" </w:instrText>
      </w:r>
      <w:r>
        <w:fldChar w:fldCharType="separate"/>
      </w:r>
      <w:r>
        <w:rPr>
          <w:rFonts w:hint="eastAsia" w:ascii="仿宋" w:hAnsi="仿宋" w:eastAsia="仿宋" w:cs="仿宋"/>
          <w:sz w:val="32"/>
          <w:szCs w:val="32"/>
        </w:rPr>
        <w:t>（四）健全生态产品价值“支撑性机制”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_Toc30983 \h </w:instrText>
      </w:r>
      <w:r>
        <w:rPr>
          <w:rFonts w:hint="eastAsia" w:ascii="仿宋" w:hAnsi="仿宋" w:eastAsia="仿宋" w:cs="仿宋"/>
          <w:sz w:val="32"/>
          <w:szCs w:val="32"/>
        </w:rPr>
        <w:fldChar w:fldCharType="separate"/>
      </w:r>
      <w:r>
        <w:rPr>
          <w:rFonts w:hint="eastAsia" w:ascii="仿宋" w:hAnsi="仿宋" w:eastAsia="仿宋" w:cs="仿宋"/>
          <w:sz w:val="32"/>
          <w:szCs w:val="32"/>
        </w:rPr>
        <w:t>- 86 -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"_Toc17586" </w:instrText>
      </w:r>
      <w:r>
        <w:fldChar w:fldCharType="separate"/>
      </w:r>
      <w:r>
        <w:rPr>
          <w:rFonts w:hint="eastAsia" w:ascii="仿宋" w:hAnsi="仿宋" w:eastAsia="仿宋" w:cs="仿宋"/>
          <w:b/>
          <w:bCs/>
          <w:sz w:val="32"/>
          <w:szCs w:val="32"/>
        </w:rPr>
        <w:t>九、高强度夯实支撑能力</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_Toc17586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- 88 -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"_Toc29534" </w:instrText>
      </w:r>
      <w:r>
        <w:fldChar w:fldCharType="separate"/>
      </w:r>
      <w:r>
        <w:rPr>
          <w:rFonts w:hint="eastAsia" w:ascii="仿宋" w:hAnsi="仿宋" w:eastAsia="仿宋" w:cs="仿宋"/>
          <w:sz w:val="32"/>
          <w:szCs w:val="32"/>
        </w:rPr>
        <w:t>（一）提升综合交通支撑能力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_Toc29534 \h </w:instrText>
      </w:r>
      <w:r>
        <w:rPr>
          <w:rFonts w:hint="eastAsia" w:ascii="仿宋" w:hAnsi="仿宋" w:eastAsia="仿宋" w:cs="仿宋"/>
          <w:sz w:val="32"/>
          <w:szCs w:val="32"/>
        </w:rPr>
        <w:fldChar w:fldCharType="separate"/>
      </w:r>
      <w:r>
        <w:rPr>
          <w:rFonts w:hint="eastAsia" w:ascii="仿宋" w:hAnsi="仿宋" w:eastAsia="仿宋" w:cs="仿宋"/>
          <w:sz w:val="32"/>
          <w:szCs w:val="32"/>
        </w:rPr>
        <w:t>- 88 -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"_Toc21885" </w:instrText>
      </w:r>
      <w:r>
        <w:fldChar w:fldCharType="separate"/>
      </w:r>
      <w:r>
        <w:rPr>
          <w:rFonts w:hint="eastAsia" w:ascii="仿宋" w:hAnsi="仿宋" w:eastAsia="仿宋" w:cs="仿宋"/>
          <w:sz w:val="32"/>
          <w:szCs w:val="32"/>
        </w:rPr>
        <w:t>（二）提升水利设施支撑能力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_Toc21885 \h </w:instrText>
      </w:r>
      <w:r>
        <w:rPr>
          <w:rFonts w:hint="eastAsia" w:ascii="仿宋" w:hAnsi="仿宋" w:eastAsia="仿宋" w:cs="仿宋"/>
          <w:sz w:val="32"/>
          <w:szCs w:val="32"/>
        </w:rPr>
        <w:fldChar w:fldCharType="separate"/>
      </w:r>
      <w:r>
        <w:rPr>
          <w:rFonts w:hint="eastAsia" w:ascii="仿宋" w:hAnsi="仿宋" w:eastAsia="仿宋" w:cs="仿宋"/>
          <w:sz w:val="32"/>
          <w:szCs w:val="32"/>
        </w:rPr>
        <w:t>- 89 -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"_Toc15144" </w:instrText>
      </w:r>
      <w:r>
        <w:fldChar w:fldCharType="separate"/>
      </w:r>
      <w:r>
        <w:rPr>
          <w:rFonts w:hint="eastAsia" w:ascii="仿宋" w:hAnsi="仿宋" w:eastAsia="仿宋" w:cs="仿宋"/>
          <w:sz w:val="32"/>
          <w:szCs w:val="32"/>
        </w:rPr>
        <w:t>（三）稳固生态系统服务保障能力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_Toc15144 \h </w:instrText>
      </w:r>
      <w:r>
        <w:rPr>
          <w:rFonts w:hint="eastAsia" w:ascii="仿宋" w:hAnsi="仿宋" w:eastAsia="仿宋" w:cs="仿宋"/>
          <w:sz w:val="32"/>
          <w:szCs w:val="32"/>
        </w:rPr>
        <w:fldChar w:fldCharType="separate"/>
      </w:r>
      <w:r>
        <w:rPr>
          <w:rFonts w:hint="eastAsia" w:ascii="仿宋" w:hAnsi="仿宋" w:eastAsia="仿宋" w:cs="仿宋"/>
          <w:sz w:val="32"/>
          <w:szCs w:val="32"/>
        </w:rPr>
        <w:t>- 90 -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"_Toc8896" </w:instrText>
      </w:r>
      <w:r>
        <w:fldChar w:fldCharType="separate"/>
      </w:r>
      <w:r>
        <w:rPr>
          <w:rFonts w:hint="eastAsia" w:ascii="仿宋" w:hAnsi="仿宋" w:eastAsia="仿宋" w:cs="仿宋"/>
          <w:sz w:val="32"/>
          <w:szCs w:val="32"/>
        </w:rPr>
        <w:t>（四）提升环境综合治理能力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_Toc8896 \h </w:instrText>
      </w:r>
      <w:r>
        <w:rPr>
          <w:rFonts w:hint="eastAsia" w:ascii="仿宋" w:hAnsi="仿宋" w:eastAsia="仿宋" w:cs="仿宋"/>
          <w:sz w:val="32"/>
          <w:szCs w:val="32"/>
        </w:rPr>
        <w:fldChar w:fldCharType="separate"/>
      </w:r>
      <w:r>
        <w:rPr>
          <w:rFonts w:hint="eastAsia" w:ascii="仿宋" w:hAnsi="仿宋" w:eastAsia="仿宋" w:cs="仿宋"/>
          <w:sz w:val="32"/>
          <w:szCs w:val="32"/>
        </w:rPr>
        <w:t>- 92 -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"_Toc11293" </w:instrText>
      </w:r>
      <w:r>
        <w:fldChar w:fldCharType="separate"/>
      </w:r>
      <w:r>
        <w:rPr>
          <w:rFonts w:hint="eastAsia" w:ascii="仿宋" w:hAnsi="仿宋" w:eastAsia="仿宋" w:cs="仿宋"/>
          <w:sz w:val="32"/>
          <w:szCs w:val="32"/>
        </w:rPr>
        <w:t>（五）提升生产要素保障能力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_Toc11293 \h </w:instrText>
      </w:r>
      <w:r>
        <w:rPr>
          <w:rFonts w:hint="eastAsia" w:ascii="仿宋" w:hAnsi="仿宋" w:eastAsia="仿宋" w:cs="仿宋"/>
          <w:sz w:val="32"/>
          <w:szCs w:val="32"/>
        </w:rPr>
        <w:fldChar w:fldCharType="separate"/>
      </w:r>
      <w:r>
        <w:rPr>
          <w:rFonts w:hint="eastAsia" w:ascii="仿宋" w:hAnsi="仿宋" w:eastAsia="仿宋" w:cs="仿宋"/>
          <w:sz w:val="32"/>
          <w:szCs w:val="32"/>
        </w:rPr>
        <w:t>- 93 -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"_Toc29133" </w:instrText>
      </w:r>
      <w:r>
        <w:fldChar w:fldCharType="separate"/>
      </w:r>
      <w:r>
        <w:rPr>
          <w:rFonts w:hint="eastAsia" w:ascii="仿宋" w:hAnsi="仿宋" w:eastAsia="仿宋" w:cs="仿宋"/>
          <w:sz w:val="32"/>
          <w:szCs w:val="32"/>
        </w:rPr>
        <w:t>（六）提升科技支撑能力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_Toc29133 \h </w:instrText>
      </w:r>
      <w:r>
        <w:rPr>
          <w:rFonts w:hint="eastAsia" w:ascii="仿宋" w:hAnsi="仿宋" w:eastAsia="仿宋" w:cs="仿宋"/>
          <w:sz w:val="32"/>
          <w:szCs w:val="32"/>
        </w:rPr>
        <w:fldChar w:fldCharType="separate"/>
      </w:r>
      <w:r>
        <w:rPr>
          <w:rFonts w:hint="eastAsia" w:ascii="仿宋" w:hAnsi="仿宋" w:eastAsia="仿宋" w:cs="仿宋"/>
          <w:sz w:val="32"/>
          <w:szCs w:val="32"/>
        </w:rPr>
        <w:t>- 95 -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"_Toc21718" </w:instrText>
      </w:r>
      <w:r>
        <w:fldChar w:fldCharType="separate"/>
      </w:r>
      <w:r>
        <w:rPr>
          <w:rFonts w:hint="eastAsia" w:ascii="仿宋" w:hAnsi="仿宋" w:eastAsia="仿宋" w:cs="仿宋"/>
          <w:b/>
          <w:bCs/>
          <w:sz w:val="32"/>
          <w:szCs w:val="32"/>
        </w:rPr>
        <w:t>十、保障措施</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_Toc21718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- 96 -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"_Toc17183" </w:instrText>
      </w:r>
      <w:r>
        <w:fldChar w:fldCharType="separate"/>
      </w:r>
      <w:r>
        <w:rPr>
          <w:rFonts w:hint="eastAsia" w:ascii="仿宋" w:hAnsi="仿宋" w:eastAsia="仿宋" w:cs="仿宋"/>
          <w:sz w:val="32"/>
          <w:szCs w:val="32"/>
        </w:rPr>
        <w:t>（一）加强组织领导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_Toc17183 \h </w:instrText>
      </w:r>
      <w:r>
        <w:rPr>
          <w:rFonts w:hint="eastAsia" w:ascii="仿宋" w:hAnsi="仿宋" w:eastAsia="仿宋" w:cs="仿宋"/>
          <w:sz w:val="32"/>
          <w:szCs w:val="32"/>
        </w:rPr>
        <w:fldChar w:fldCharType="separate"/>
      </w:r>
      <w:r>
        <w:rPr>
          <w:rFonts w:hint="eastAsia" w:ascii="仿宋" w:hAnsi="仿宋" w:eastAsia="仿宋" w:cs="仿宋"/>
          <w:sz w:val="32"/>
          <w:szCs w:val="32"/>
        </w:rPr>
        <w:t>- 96 -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"_Toc22279" </w:instrText>
      </w:r>
      <w:r>
        <w:fldChar w:fldCharType="separate"/>
      </w:r>
      <w:r>
        <w:rPr>
          <w:rFonts w:hint="eastAsia" w:ascii="仿宋" w:hAnsi="仿宋" w:eastAsia="仿宋" w:cs="仿宋"/>
          <w:sz w:val="32"/>
          <w:szCs w:val="32"/>
        </w:rPr>
        <w:t>（二）争取上级支持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_Toc22279 \h </w:instrText>
      </w:r>
      <w:r>
        <w:rPr>
          <w:rFonts w:hint="eastAsia" w:ascii="仿宋" w:hAnsi="仿宋" w:eastAsia="仿宋" w:cs="仿宋"/>
          <w:sz w:val="32"/>
          <w:szCs w:val="32"/>
        </w:rPr>
        <w:fldChar w:fldCharType="separate"/>
      </w:r>
      <w:r>
        <w:rPr>
          <w:rFonts w:hint="eastAsia" w:ascii="仿宋" w:hAnsi="仿宋" w:eastAsia="仿宋" w:cs="仿宋"/>
          <w:sz w:val="32"/>
          <w:szCs w:val="32"/>
        </w:rPr>
        <w:t>- 96 -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"_Toc20535" </w:instrText>
      </w:r>
      <w:r>
        <w:fldChar w:fldCharType="separate"/>
      </w:r>
      <w:r>
        <w:rPr>
          <w:rFonts w:hint="eastAsia" w:ascii="仿宋" w:hAnsi="仿宋" w:eastAsia="仿宋" w:cs="仿宋"/>
          <w:sz w:val="32"/>
          <w:szCs w:val="32"/>
        </w:rPr>
        <w:t>（三）构建高效运行体制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_Toc20535 \h </w:instrText>
      </w:r>
      <w:r>
        <w:rPr>
          <w:rFonts w:hint="eastAsia" w:ascii="仿宋" w:hAnsi="仿宋" w:eastAsia="仿宋" w:cs="仿宋"/>
          <w:sz w:val="32"/>
          <w:szCs w:val="32"/>
        </w:rPr>
        <w:fldChar w:fldCharType="separate"/>
      </w:r>
      <w:r>
        <w:rPr>
          <w:rFonts w:hint="eastAsia" w:ascii="仿宋" w:hAnsi="仿宋" w:eastAsia="仿宋" w:cs="仿宋"/>
          <w:sz w:val="32"/>
          <w:szCs w:val="32"/>
        </w:rPr>
        <w:t>- 97 -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"_Toc4701" </w:instrText>
      </w:r>
      <w:r>
        <w:fldChar w:fldCharType="separate"/>
      </w:r>
      <w:r>
        <w:rPr>
          <w:rFonts w:hint="eastAsia" w:ascii="仿宋" w:hAnsi="仿宋" w:eastAsia="仿宋" w:cs="仿宋"/>
          <w:sz w:val="32"/>
          <w:szCs w:val="32"/>
        </w:rPr>
        <w:t>（四）完善政策支持体系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_Toc4701 \h </w:instrText>
      </w:r>
      <w:r>
        <w:rPr>
          <w:rFonts w:hint="eastAsia" w:ascii="仿宋" w:hAnsi="仿宋" w:eastAsia="仿宋" w:cs="仿宋"/>
          <w:sz w:val="32"/>
          <w:szCs w:val="32"/>
        </w:rPr>
        <w:fldChar w:fldCharType="separate"/>
      </w:r>
      <w:r>
        <w:rPr>
          <w:rFonts w:hint="eastAsia" w:ascii="仿宋" w:hAnsi="仿宋" w:eastAsia="仿宋" w:cs="仿宋"/>
          <w:sz w:val="32"/>
          <w:szCs w:val="32"/>
        </w:rPr>
        <w:t>- 98 -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"_Toc7542" </w:instrText>
      </w:r>
      <w:r>
        <w:fldChar w:fldCharType="separate"/>
      </w:r>
      <w:r>
        <w:rPr>
          <w:rFonts w:hint="eastAsia" w:ascii="仿宋" w:hAnsi="仿宋" w:eastAsia="仿宋" w:cs="仿宋"/>
          <w:sz w:val="32"/>
          <w:szCs w:val="32"/>
        </w:rPr>
        <w:t>（五）强化市场运作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_Toc7542 \h </w:instrText>
      </w:r>
      <w:r>
        <w:rPr>
          <w:rFonts w:hint="eastAsia" w:ascii="仿宋" w:hAnsi="仿宋" w:eastAsia="仿宋" w:cs="仿宋"/>
          <w:sz w:val="32"/>
          <w:szCs w:val="32"/>
        </w:rPr>
        <w:fldChar w:fldCharType="separate"/>
      </w:r>
      <w:r>
        <w:rPr>
          <w:rFonts w:hint="eastAsia" w:ascii="仿宋" w:hAnsi="仿宋" w:eastAsia="仿宋" w:cs="仿宋"/>
          <w:sz w:val="32"/>
          <w:szCs w:val="32"/>
        </w:rPr>
        <w:t>- 98 -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"_Toc14202" </w:instrText>
      </w:r>
      <w:r>
        <w:fldChar w:fldCharType="separate"/>
      </w:r>
      <w:r>
        <w:rPr>
          <w:rFonts w:hint="eastAsia" w:ascii="仿宋" w:hAnsi="仿宋" w:eastAsia="仿宋" w:cs="仿宋"/>
          <w:sz w:val="32"/>
          <w:szCs w:val="32"/>
        </w:rPr>
        <w:t>（六）争取外部支持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_Toc14202 \h </w:instrText>
      </w:r>
      <w:r>
        <w:rPr>
          <w:rFonts w:hint="eastAsia" w:ascii="仿宋" w:hAnsi="仿宋" w:eastAsia="仿宋" w:cs="仿宋"/>
          <w:sz w:val="32"/>
          <w:szCs w:val="32"/>
        </w:rPr>
        <w:fldChar w:fldCharType="separate"/>
      </w:r>
      <w:r>
        <w:rPr>
          <w:rFonts w:hint="eastAsia" w:ascii="仿宋" w:hAnsi="仿宋" w:eastAsia="仿宋" w:cs="仿宋"/>
          <w:sz w:val="32"/>
          <w:szCs w:val="32"/>
        </w:rPr>
        <w:t>- 99 -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"_Toc26549" </w:instrText>
      </w:r>
      <w:r>
        <w:fldChar w:fldCharType="separate"/>
      </w:r>
      <w:r>
        <w:rPr>
          <w:rFonts w:hint="eastAsia" w:ascii="仿宋" w:hAnsi="仿宋" w:eastAsia="仿宋" w:cs="仿宋"/>
          <w:sz w:val="32"/>
          <w:szCs w:val="32"/>
        </w:rPr>
        <w:t>（七）加强监督考核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_Toc26549 \h </w:instrText>
      </w:r>
      <w:r>
        <w:rPr>
          <w:rFonts w:hint="eastAsia" w:ascii="仿宋" w:hAnsi="仿宋" w:eastAsia="仿宋" w:cs="仿宋"/>
          <w:sz w:val="32"/>
          <w:szCs w:val="32"/>
        </w:rPr>
        <w:fldChar w:fldCharType="separate"/>
      </w:r>
      <w:r>
        <w:rPr>
          <w:rFonts w:hint="eastAsia" w:ascii="仿宋" w:hAnsi="仿宋" w:eastAsia="仿宋" w:cs="仿宋"/>
          <w:sz w:val="32"/>
          <w:szCs w:val="32"/>
        </w:rPr>
        <w:t>- 99 -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leader="dot" w:pos="8958"/>
        </w:tabs>
        <w:spacing w:after="0" w:line="580" w:lineRule="exact"/>
        <w:rPr>
          <w:rFonts w:ascii="仿宋" w:hAnsi="仿宋" w:eastAsia="仿宋" w:cs="仿宋"/>
          <w:sz w:val="32"/>
          <w:szCs w:val="32"/>
        </w:rPr>
      </w:pPr>
      <w:r>
        <w:fldChar w:fldCharType="begin"/>
      </w:r>
      <w:r>
        <w:instrText xml:space="preserve"> HYPERLINK \l "_Toc2979" </w:instrText>
      </w:r>
      <w:r>
        <w:fldChar w:fldCharType="separate"/>
      </w:r>
      <w:r>
        <w:rPr>
          <w:rFonts w:hint="eastAsia" w:ascii="仿宋" w:hAnsi="仿宋" w:eastAsia="仿宋" w:cs="仿宋"/>
          <w:sz w:val="32"/>
          <w:szCs w:val="32"/>
        </w:rPr>
        <w:t>（八）加强宣传引导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_Toc2979 \h </w:instrText>
      </w:r>
      <w:r>
        <w:rPr>
          <w:rFonts w:hint="eastAsia" w:ascii="仿宋" w:hAnsi="仿宋" w:eastAsia="仿宋" w:cs="仿宋"/>
          <w:sz w:val="32"/>
          <w:szCs w:val="32"/>
        </w:rPr>
        <w:fldChar w:fldCharType="separate"/>
      </w:r>
      <w:r>
        <w:rPr>
          <w:rFonts w:hint="eastAsia" w:ascii="仿宋" w:hAnsi="仿宋" w:eastAsia="仿宋" w:cs="仿宋"/>
          <w:sz w:val="32"/>
          <w:szCs w:val="32"/>
        </w:rPr>
        <w:t>- 100 -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958"/>
          <w:tab w:val="clear" w:pos="8296"/>
        </w:tabs>
        <w:spacing w:after="0" w:line="580" w:lineRule="exact"/>
        <w:rPr>
          <w:rFonts w:ascii="仿宋" w:hAnsi="仿宋" w:eastAsia="仿宋" w:cs="仿宋"/>
          <w:b/>
          <w:bCs/>
          <w:sz w:val="32"/>
          <w:szCs w:val="32"/>
        </w:rPr>
      </w:pPr>
      <w:r>
        <w:fldChar w:fldCharType="begin"/>
      </w:r>
      <w:r>
        <w:instrText xml:space="preserve"> HYPERLINK \l "_Toc13222" </w:instrText>
      </w:r>
      <w:r>
        <w:fldChar w:fldCharType="separate"/>
      </w:r>
      <w:r>
        <w:rPr>
          <w:rFonts w:hint="eastAsia" w:ascii="仿宋" w:hAnsi="仿宋" w:eastAsia="仿宋" w:cs="仿宋"/>
          <w:b/>
          <w:bCs/>
          <w:sz w:val="32"/>
          <w:szCs w:val="32"/>
        </w:rPr>
        <w:t>附件：重大项目建设表（汇总表）</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_Toc13222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- 101 -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spacing w:line="580" w:lineRule="exact"/>
        <w:rPr>
          <w:rFonts w:ascii="仿宋" w:hAnsi="仿宋" w:eastAsia="仿宋" w:cs="仿宋"/>
          <w:sz w:val="32"/>
          <w:szCs w:val="32"/>
        </w:rPr>
        <w:sectPr>
          <w:headerReference r:id="rId4" w:type="default"/>
          <w:footerReference r:id="rId5" w:type="default"/>
          <w:footerReference r:id="rId6" w:type="even"/>
          <w:pgSz w:w="11906" w:h="16838"/>
          <w:pgMar w:top="2041" w:right="1417" w:bottom="1928" w:left="1531" w:header="851" w:footer="992" w:gutter="0"/>
          <w:pgNumType w:fmt="numberInDash" w:start="5"/>
          <w:cols w:space="0" w:num="1"/>
          <w:docGrid w:type="lines" w:linePitch="312" w:charSpace="0"/>
        </w:sectPr>
      </w:pPr>
      <w:r>
        <w:rPr>
          <w:rFonts w:hint="eastAsia" w:ascii="仿宋" w:hAnsi="仿宋" w:eastAsia="仿宋" w:cs="仿宋"/>
          <w:sz w:val="32"/>
          <w:szCs w:val="32"/>
        </w:rPr>
        <w:fldChar w:fldCharType="end"/>
      </w:r>
    </w:p>
    <w:p>
      <w:pPr>
        <w:pStyle w:val="3"/>
        <w:spacing w:before="0" w:after="0" w:line="580" w:lineRule="exact"/>
        <w:jc w:val="center"/>
        <w:rPr>
          <w:rFonts w:ascii="黑体" w:hAnsi="黑体" w:eastAsia="黑体" w:cs="黑体"/>
          <w:b w:val="0"/>
          <w:bCs w:val="0"/>
        </w:rPr>
      </w:pPr>
      <w:bookmarkStart w:id="4" w:name="_Toc12880"/>
      <w:r>
        <w:rPr>
          <w:rFonts w:hint="eastAsia" w:ascii="黑体" w:hAnsi="黑体" w:eastAsia="黑体" w:cs="黑体"/>
          <w:b w:val="0"/>
          <w:bCs w:val="0"/>
        </w:rPr>
        <w:t>前 言</w:t>
      </w:r>
      <w:bookmarkEnd w:id="3"/>
      <w:bookmarkEnd w:id="4"/>
    </w:p>
    <w:p>
      <w:pPr>
        <w:pStyle w:val="4"/>
        <w:spacing w:before="0" w:beforeAutospacing="0" w:after="0" w:afterAutospacing="0" w:line="580" w:lineRule="exact"/>
        <w:ind w:firstLine="640" w:firstLineChars="200"/>
        <w:rPr>
          <w:rFonts w:ascii="楷体_GB2312" w:hAnsi="楷体_GB2312" w:eastAsia="楷体_GB2312" w:cs="楷体_GB2312"/>
          <w:b w:val="0"/>
          <w:sz w:val="32"/>
          <w:szCs w:val="32"/>
        </w:rPr>
      </w:pPr>
      <w:bookmarkStart w:id="5" w:name="_Toc29486"/>
      <w:bookmarkStart w:id="6" w:name="_Toc133539446"/>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r>
        <w:rPr>
          <w:rFonts w:hint="eastAsia" w:ascii="楷体_GB2312" w:hAnsi="楷体_GB2312" w:eastAsia="楷体_GB2312" w:cs="楷体_GB2312"/>
          <w:b w:val="0"/>
          <w:spacing w:val="-6"/>
          <w:kern w:val="2"/>
          <w:sz w:val="32"/>
          <w:szCs w:val="32"/>
        </w:rPr>
        <w:t>（一）规划背景</w:t>
      </w:r>
      <w:bookmarkEnd w:id="5"/>
      <w:bookmarkEnd w:id="6"/>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秦岭和合南北、泽被天下，是我国南北方地理分界线和最重要的生态安全屏障，是我国“具有全球意义的生物多样性保护关键地区”，是中华民族重要的精神象征。保护好秦岭生态环境，关系全国生态环境大局，关系中华民族长盛不衰，对实现“两个一百年”奋斗目标、实现可持续发展具有重大意义。</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sectPr>
          <w:headerReference r:id="rId7" w:type="default"/>
          <w:footerReference r:id="rId8" w:type="default"/>
          <w:footerReference r:id="rId9" w:type="even"/>
          <w:pgSz w:w="11906" w:h="16838"/>
          <w:pgMar w:top="2041" w:right="1417" w:bottom="1928" w:left="1531" w:header="851" w:footer="397" w:gutter="0"/>
          <w:pgNumType w:fmt="numberInDash" w:start="6"/>
          <w:cols w:space="0" w:num="1"/>
          <w:docGrid w:type="lines" w:linePitch="312" w:charSpace="0"/>
        </w:sectPr>
      </w:pPr>
      <w:r>
        <w:rPr>
          <w:rFonts w:hint="eastAsia" w:ascii="仿宋_GB2312" w:hAnsi="仿宋_GB2312" w:eastAsia="仿宋_GB2312" w:cs="仿宋_GB2312"/>
          <w:spacing w:val="-6"/>
          <w:sz w:val="32"/>
          <w:szCs w:val="32"/>
          <w:shd w:val="clear" w:color="auto" w:fill="FFFFFF"/>
        </w:rPr>
        <w:t>以习近平同志为核心的党中央高度重视秦岭生态环境保护，总书记多次做出重要指示批示。</w:t>
      </w:r>
      <w:bookmarkStart w:id="7" w:name="_Hlk152068910"/>
      <w:r>
        <w:rPr>
          <w:rFonts w:hint="eastAsia" w:ascii="仿宋_GB2312" w:hAnsi="仿宋_GB2312" w:eastAsia="仿宋_GB2312" w:cs="仿宋_GB2312"/>
          <w:spacing w:val="-6"/>
          <w:sz w:val="32"/>
          <w:szCs w:val="32"/>
          <w:shd w:val="clear" w:color="auto" w:fill="FFFFFF"/>
        </w:rPr>
        <w:t>为全面贯彻落实习近平总书记关于秦岭生态环境保护的重要讲话和重要指示批示精神，深入践行“绿水青山就是金山银山”理念，推进秦岭地区生态文明建设先行示范，推进经济社会高质量绿色发展，在保护秦岭中探索一条生态美、产业绿、百姓富、机制活的高质量发展之路，陕西省提出了支持汉中建设区域中心城市、国家循环经济示范市、全国优质生态产品供给基地的重大战略决策。根据陕西</w:t>
      </w:r>
      <w:r>
        <w:rPr>
          <w:rFonts w:hint="eastAsia" w:ascii="仿宋_GB2312" w:hAnsi="仿宋_GB2312" w:eastAsia="仿宋_GB2312" w:cs="仿宋_GB2312"/>
          <w:spacing w:val="-6"/>
          <w:sz w:val="32"/>
          <w:szCs w:val="32"/>
          <w:shd w:val="clear" w:color="auto" w:fill="FFFFFF"/>
          <w:lang w:eastAsia="zh-CN"/>
        </w:rPr>
        <w:t>省委、省政府</w:t>
      </w:r>
      <w:r>
        <w:rPr>
          <w:rFonts w:hint="eastAsia" w:ascii="仿宋_GB2312" w:hAnsi="仿宋_GB2312" w:eastAsia="仿宋_GB2312" w:cs="仿宋_GB2312"/>
          <w:spacing w:val="-6"/>
          <w:sz w:val="32"/>
          <w:szCs w:val="32"/>
          <w:shd w:val="clear" w:color="auto" w:fill="FFFFFF"/>
        </w:rPr>
        <w:t>的战略部署，汉中市在国民经济和社会发展第十四个五年规划和二〇三五年远景目标纲要中进一步明确了建设全国优质生态产品供给基地的发展路径，并赋予洋县建设国家生态产品供给基地的发展定位。围绕汉中市建设全国优质生态产品供给基地的总体要求，洋县在编制国民经济和社会发展第十四个五年规划时以建设国家生态产品供给基地为主线，对相关工作作了进一步的安排。为了</w:t>
      </w:r>
    </w:p>
    <w:p>
      <w:pPr>
        <w:tabs>
          <w:tab w:val="left" w:pos="1620"/>
        </w:tabs>
        <w:spacing w:line="580" w:lineRule="exact"/>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全面贯彻落实陕西省、汉中市的战略部署和洋县</w:t>
      </w:r>
      <w:r>
        <w:rPr>
          <w:rFonts w:hint="eastAsia" w:ascii="仿宋_GB2312" w:hAnsi="仿宋_GB2312" w:eastAsia="仿宋_GB2312" w:cs="仿宋_GB2312"/>
          <w:spacing w:val="-6"/>
          <w:sz w:val="32"/>
          <w:szCs w:val="32"/>
          <w:shd w:val="clear" w:color="auto" w:fill="FFFFFF"/>
          <w:lang w:eastAsia="zh-CN"/>
        </w:rPr>
        <w:t>县委、县政府</w:t>
      </w:r>
      <w:r>
        <w:rPr>
          <w:rFonts w:hint="eastAsia" w:ascii="仿宋_GB2312" w:hAnsi="仿宋_GB2312" w:eastAsia="仿宋_GB2312" w:cs="仿宋_GB2312"/>
          <w:spacing w:val="-6"/>
          <w:sz w:val="32"/>
          <w:szCs w:val="32"/>
          <w:shd w:val="clear" w:color="auto" w:fill="FFFFFF"/>
        </w:rPr>
        <w:t>在“十四五”规划中提出的目标任务，加快建设洋县国家生态产品供给基地，特制定本规划。</w:t>
      </w:r>
    </w:p>
    <w:bookmarkEnd w:id="7"/>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8" w:name="_Toc133539447"/>
      <w:bookmarkStart w:id="9" w:name="_Toc15907"/>
      <w:bookmarkStart w:id="10" w:name="_Hlk133160930"/>
      <w:r>
        <w:rPr>
          <w:rFonts w:hint="eastAsia" w:ascii="楷体_GB2312" w:hAnsi="楷体_GB2312" w:eastAsia="楷体_GB2312" w:cs="楷体_GB2312"/>
          <w:b w:val="0"/>
          <w:spacing w:val="-6"/>
          <w:kern w:val="2"/>
          <w:sz w:val="32"/>
          <w:szCs w:val="32"/>
        </w:rPr>
        <w:t>（二）规划意义</w:t>
      </w:r>
      <w:bookmarkEnd w:id="8"/>
      <w:bookmarkEnd w:id="9"/>
    </w:p>
    <w:bookmarkEnd w:id="10"/>
    <w:p>
      <w:pPr>
        <w:tabs>
          <w:tab w:val="left" w:pos="720"/>
          <w:tab w:val="left" w:pos="1620"/>
        </w:tabs>
        <w:spacing w:line="580" w:lineRule="exact"/>
        <w:ind w:firstLine="640" w:firstLineChars="200"/>
        <w:rPr>
          <w:rFonts w:ascii="仿宋_GB2312" w:hAnsi="仿宋_GB2312" w:eastAsia="仿宋_GB2312" w:cs="仿宋_GB2312"/>
          <w:sz w:val="32"/>
          <w:szCs w:val="32"/>
          <w:shd w:val="clear" w:color="auto" w:fill="FFFFFF"/>
        </w:rPr>
      </w:pPr>
      <w:bookmarkStart w:id="11" w:name="_Hlk136641431"/>
      <w:r>
        <w:rPr>
          <w:rFonts w:hint="eastAsia" w:ascii="仿宋_GB2312" w:hAnsi="仿宋_GB2312" w:eastAsia="仿宋_GB2312" w:cs="仿宋_GB2312"/>
          <w:sz w:val="32"/>
          <w:szCs w:val="32"/>
          <w:shd w:val="clear" w:color="auto" w:fill="FFFFFF"/>
        </w:rPr>
        <w:t>主动承担国家使命</w:t>
      </w:r>
      <w:bookmarkEnd w:id="11"/>
      <w:r>
        <w:rPr>
          <w:rFonts w:hint="eastAsia" w:ascii="仿宋_GB2312" w:hAnsi="仿宋_GB2312" w:eastAsia="仿宋_GB2312" w:cs="仿宋_GB2312"/>
          <w:sz w:val="32"/>
          <w:szCs w:val="32"/>
          <w:shd w:val="clear" w:color="auto" w:fill="FFFFFF"/>
        </w:rPr>
        <w:t>。洋县地处秦岭腹地，行政区域面积的77.54%位于秦岭保护范围之内，肩负着举足轻重的生态环境保护任务。</w:t>
      </w:r>
      <w:r>
        <w:rPr>
          <w:rFonts w:hint="eastAsia" w:ascii="仿宋_GB2312" w:hAnsi="仿宋_GB2312" w:eastAsia="仿宋_GB2312" w:cs="仿宋_GB2312"/>
          <w:sz w:val="32"/>
          <w:szCs w:val="32"/>
        </w:rPr>
        <w:t>编制实施国家级生态产品供给基地建设规划，</w:t>
      </w:r>
      <w:bookmarkStart w:id="12" w:name="_Hlk152072620"/>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shd w:val="clear" w:color="auto" w:fill="FFFFFF"/>
        </w:rPr>
        <w:t>全域持续提升以水、空气、土壤为主的公共性生态产品的供给能力水平，</w:t>
      </w:r>
      <w:bookmarkEnd w:id="12"/>
      <w:r>
        <w:rPr>
          <w:rFonts w:hint="eastAsia" w:ascii="仿宋_GB2312" w:hAnsi="仿宋_GB2312" w:eastAsia="仿宋_GB2312" w:cs="仿宋_GB2312"/>
          <w:sz w:val="32"/>
          <w:szCs w:val="32"/>
          <w:shd w:val="clear" w:color="auto" w:fill="FFFFFF"/>
        </w:rPr>
        <w:t>不断夯实生态服务功能，是洋县作为地处横亘南北间重要生态安全屏障的县级行政单位本应履行的责任使命，是以洋县为范本通过先行先试提升重要生态功能区维护国家生态安全能力的重要举措。</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推动县域经济绿色高质量发展。高水平统筹地区经济社会发展与生态环境保护，是贯彻落实新发展理念，促进经济社会发展全面绿色转型，推进生态文明建设先行示范的重要任务。</w:t>
      </w:r>
      <w:r>
        <w:rPr>
          <w:rFonts w:hint="eastAsia" w:ascii="仿宋_GB2312" w:hAnsi="仿宋_GB2312" w:eastAsia="仿宋_GB2312" w:cs="仿宋_GB2312"/>
          <w:spacing w:val="-6"/>
          <w:sz w:val="32"/>
          <w:szCs w:val="32"/>
        </w:rPr>
        <w:t>编制实施国家级生态产品供给基地建设规划，</w:t>
      </w:r>
      <w:bookmarkStart w:id="13" w:name="_Hlk152072506"/>
      <w:r>
        <w:rPr>
          <w:rFonts w:hint="eastAsia" w:ascii="仿宋_GB2312" w:hAnsi="仿宋_GB2312" w:eastAsia="仿宋_GB2312" w:cs="仿宋_GB2312"/>
          <w:spacing w:val="-6"/>
          <w:sz w:val="32"/>
          <w:szCs w:val="32"/>
        </w:rPr>
        <w:t>统筹推进生态建设和</w:t>
      </w:r>
      <w:r>
        <w:rPr>
          <w:rFonts w:hint="eastAsia" w:ascii="仿宋_GB2312" w:hAnsi="仿宋_GB2312" w:eastAsia="仿宋_GB2312" w:cs="仿宋_GB2312"/>
          <w:spacing w:val="-6"/>
          <w:sz w:val="32"/>
          <w:szCs w:val="32"/>
          <w:shd w:val="clear" w:color="auto" w:fill="FFFFFF"/>
        </w:rPr>
        <w:t>洋县当地经济发展，</w:t>
      </w:r>
      <w:bookmarkStart w:id="14" w:name="_Hlk136966121"/>
      <w:r>
        <w:rPr>
          <w:rFonts w:hint="eastAsia" w:ascii="仿宋_GB2312" w:hAnsi="仿宋_GB2312" w:eastAsia="仿宋_GB2312" w:cs="仿宋_GB2312"/>
          <w:spacing w:val="-6"/>
          <w:sz w:val="32"/>
          <w:szCs w:val="32"/>
          <w:shd w:val="clear" w:color="auto" w:fill="FFFFFF"/>
        </w:rPr>
        <w:t>通过生态赋能、文化赋能</w:t>
      </w:r>
      <w:r>
        <w:rPr>
          <w:rFonts w:hint="eastAsia" w:ascii="仿宋_GB2312" w:hAnsi="仿宋_GB2312" w:eastAsia="仿宋_GB2312" w:cs="仿宋_GB2312"/>
          <w:spacing w:val="-6"/>
          <w:sz w:val="32"/>
          <w:szCs w:val="32"/>
        </w:rPr>
        <w:t>全面提升洋县经营性生态产品的供给能力，加快打造现代产业体系，着力</w:t>
      </w:r>
      <w:r>
        <w:rPr>
          <w:rFonts w:hint="eastAsia" w:ascii="仿宋_GB2312" w:hAnsi="仿宋_GB2312" w:eastAsia="仿宋_GB2312" w:cs="仿宋_GB2312"/>
          <w:spacing w:val="-6"/>
          <w:sz w:val="32"/>
          <w:szCs w:val="32"/>
          <w:shd w:val="clear" w:color="auto" w:fill="FFFFFF"/>
        </w:rPr>
        <w:t>构筑新时期县域经济发展的绿色动能，是洋县把巨大的生态优势转化为经济优势的</w:t>
      </w:r>
      <w:r>
        <w:rPr>
          <w:rFonts w:hint="eastAsia" w:ascii="仿宋_GB2312" w:hAnsi="仿宋_GB2312" w:eastAsia="仿宋_GB2312" w:cs="仿宋_GB2312"/>
          <w:spacing w:val="-6"/>
          <w:sz w:val="32"/>
          <w:szCs w:val="32"/>
        </w:rPr>
        <w:t>战略举措，是以洋县为范本积极</w:t>
      </w:r>
      <w:bookmarkStart w:id="15" w:name="_Hlk152072757"/>
      <w:r>
        <w:rPr>
          <w:rFonts w:hint="eastAsia" w:ascii="仿宋_GB2312" w:hAnsi="仿宋_GB2312" w:eastAsia="仿宋_GB2312" w:cs="仿宋_GB2312"/>
          <w:spacing w:val="-6"/>
          <w:sz w:val="32"/>
          <w:szCs w:val="32"/>
        </w:rPr>
        <w:t>探索西部</w:t>
      </w:r>
      <w:r>
        <w:rPr>
          <w:rFonts w:hint="eastAsia" w:ascii="仿宋_GB2312" w:hAnsi="仿宋_GB2312" w:eastAsia="仿宋_GB2312" w:cs="仿宋_GB2312"/>
          <w:spacing w:val="-6"/>
          <w:sz w:val="32"/>
          <w:szCs w:val="32"/>
          <w:shd w:val="clear" w:color="auto" w:fill="FFFFFF"/>
        </w:rPr>
        <w:t>县域经济绿色转型、高质量发展的重要实践。</w:t>
      </w:r>
      <w:bookmarkEnd w:id="13"/>
    </w:p>
    <w:bookmarkEnd w:id="14"/>
    <w:bookmarkEnd w:id="15"/>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sectPr>
          <w:headerReference r:id="rId10" w:type="default"/>
          <w:footerReference r:id="rId11" w:type="default"/>
          <w:footerReference r:id="rId12" w:type="even"/>
          <w:pgSz w:w="11906" w:h="16838"/>
          <w:pgMar w:top="2041" w:right="1417" w:bottom="1928" w:left="1531" w:header="851" w:footer="397" w:gutter="0"/>
          <w:pgNumType w:fmt="numberInDash" w:start="7"/>
          <w:cols w:space="0" w:num="1"/>
          <w:docGrid w:type="lines" w:linePitch="312" w:charSpace="0"/>
        </w:sectPr>
      </w:pPr>
      <w:r>
        <w:rPr>
          <w:rFonts w:hint="eastAsia" w:ascii="仿宋_GB2312" w:hAnsi="仿宋_GB2312" w:eastAsia="仿宋_GB2312" w:cs="仿宋_GB2312"/>
          <w:spacing w:val="-6"/>
          <w:sz w:val="32"/>
          <w:szCs w:val="32"/>
          <w:shd w:val="clear" w:color="auto" w:fill="FFFFFF"/>
        </w:rPr>
        <w:t>探索国家重要生态功能区生态价值实现通道。洋县地处国家</w:t>
      </w:r>
    </w:p>
    <w:p>
      <w:pPr>
        <w:tabs>
          <w:tab w:val="left" w:pos="1620"/>
        </w:tabs>
        <w:spacing w:line="580" w:lineRule="exact"/>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重要生态功能区，长期以来，历届</w:t>
      </w:r>
      <w:r>
        <w:rPr>
          <w:rFonts w:hint="eastAsia" w:ascii="仿宋_GB2312" w:hAnsi="仿宋_GB2312" w:eastAsia="仿宋_GB2312" w:cs="仿宋_GB2312"/>
          <w:spacing w:val="-6"/>
          <w:sz w:val="32"/>
          <w:szCs w:val="32"/>
          <w:shd w:val="clear" w:color="auto" w:fill="FFFFFF"/>
          <w:lang w:eastAsia="zh-CN"/>
        </w:rPr>
        <w:t>县委、县政府</w:t>
      </w:r>
      <w:r>
        <w:rPr>
          <w:rFonts w:hint="eastAsia" w:ascii="仿宋_GB2312" w:hAnsi="仿宋_GB2312" w:eastAsia="仿宋_GB2312" w:cs="仿宋_GB2312"/>
          <w:spacing w:val="-6"/>
          <w:sz w:val="32"/>
          <w:szCs w:val="32"/>
          <w:shd w:val="clear" w:color="auto" w:fill="FFFFFF"/>
        </w:rPr>
        <w:t>和洋县人民以高度的使命担当，持续开展森林、湿地等重要生态系统的保护修复及治理，为建设全球唯一的朱鹮人工饲养种源地和主要的野外栖息地提供了有力支撑，为确保南水北调中线水源地和引汉济渭工程饮用水水源提供永续清流贡献了洋县范本。</w:t>
      </w:r>
      <w:r>
        <w:rPr>
          <w:rFonts w:hint="eastAsia" w:ascii="仿宋_GB2312" w:hAnsi="仿宋_GB2312" w:eastAsia="仿宋_GB2312" w:cs="仿宋_GB2312"/>
          <w:spacing w:val="-6"/>
          <w:sz w:val="32"/>
          <w:szCs w:val="32"/>
        </w:rPr>
        <w:t>编制实施国家级生态产品供给基地建设规划，</w:t>
      </w:r>
      <w:bookmarkStart w:id="16" w:name="_Hlk152072696"/>
      <w:r>
        <w:rPr>
          <w:rFonts w:hint="eastAsia" w:ascii="仿宋_GB2312" w:hAnsi="仿宋_GB2312" w:eastAsia="仿宋_GB2312" w:cs="仿宋_GB2312"/>
          <w:spacing w:val="-6"/>
          <w:sz w:val="32"/>
          <w:szCs w:val="32"/>
          <w:shd w:val="clear" w:color="auto" w:fill="FFFFFF"/>
        </w:rPr>
        <w:t>聚焦保障更可持续、更大规模、更多数量优质生态产品供给，</w:t>
      </w:r>
      <w:r>
        <w:rPr>
          <w:rFonts w:hint="eastAsia" w:ascii="仿宋_GB2312" w:hAnsi="仿宋_GB2312" w:eastAsia="仿宋_GB2312" w:cs="仿宋_GB2312"/>
          <w:spacing w:val="-6"/>
          <w:sz w:val="32"/>
          <w:szCs w:val="32"/>
        </w:rPr>
        <w:t>探索构建更具可持续性的“两山”转化通道，</w:t>
      </w:r>
      <w:bookmarkEnd w:id="16"/>
      <w:r>
        <w:rPr>
          <w:rFonts w:hint="eastAsia" w:ascii="仿宋_GB2312" w:hAnsi="仿宋_GB2312" w:eastAsia="仿宋_GB2312" w:cs="仿宋_GB2312"/>
          <w:spacing w:val="-6"/>
          <w:sz w:val="32"/>
          <w:szCs w:val="32"/>
          <w:shd w:val="clear" w:color="auto" w:fill="FFFFFF"/>
        </w:rPr>
        <w:t>是洋县加快生态资源变资产、资产变资本，促进全县人人共享生态文明建设红利的重要途径，</w:t>
      </w:r>
      <w:r>
        <w:rPr>
          <w:rFonts w:hint="eastAsia" w:ascii="仿宋_GB2312" w:hAnsi="仿宋_GB2312" w:eastAsia="仿宋_GB2312" w:cs="仿宋_GB2312"/>
          <w:spacing w:val="-6"/>
          <w:sz w:val="32"/>
          <w:szCs w:val="32"/>
        </w:rPr>
        <w:t>是以洋县为范本在肯定国家重要生态功能区历史贡献的基础上，探索构建继往开来、上下兼顾的</w:t>
      </w:r>
      <w:r>
        <w:rPr>
          <w:rFonts w:hint="eastAsia" w:ascii="仿宋_GB2312" w:hAnsi="仿宋_GB2312" w:eastAsia="仿宋_GB2312" w:cs="仿宋_GB2312"/>
          <w:spacing w:val="-6"/>
          <w:sz w:val="32"/>
          <w:szCs w:val="32"/>
          <w:shd w:val="clear" w:color="auto" w:fill="FFFFFF"/>
        </w:rPr>
        <w:t>更具操作性的生态产品价值实现机制，加快西部国家</w:t>
      </w:r>
      <w:r>
        <w:rPr>
          <w:rFonts w:hint="eastAsia" w:ascii="仿宋_GB2312" w:hAnsi="仿宋_GB2312" w:eastAsia="仿宋_GB2312" w:cs="仿宋_GB2312"/>
          <w:spacing w:val="-6"/>
          <w:sz w:val="32"/>
          <w:szCs w:val="32"/>
        </w:rPr>
        <w:t>重要生态功能区实现共同富裕</w:t>
      </w:r>
      <w:r>
        <w:rPr>
          <w:rFonts w:hint="eastAsia" w:ascii="仿宋_GB2312" w:hAnsi="仿宋_GB2312" w:eastAsia="仿宋_GB2312" w:cs="仿宋_GB2312"/>
          <w:spacing w:val="-6"/>
          <w:sz w:val="32"/>
          <w:szCs w:val="32"/>
          <w:shd w:val="clear" w:color="auto" w:fill="FFFFFF"/>
        </w:rPr>
        <w:t>的必由之路。</w:t>
      </w:r>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17" w:name="_Toc133539448"/>
      <w:bookmarkStart w:id="18" w:name="_Toc17098"/>
      <w:r>
        <w:rPr>
          <w:rFonts w:hint="eastAsia" w:ascii="楷体_GB2312" w:hAnsi="楷体_GB2312" w:eastAsia="楷体_GB2312" w:cs="楷体_GB2312"/>
          <w:b w:val="0"/>
          <w:spacing w:val="-6"/>
          <w:kern w:val="2"/>
          <w:sz w:val="32"/>
          <w:szCs w:val="32"/>
        </w:rPr>
        <w:t>（三）规划期限</w:t>
      </w:r>
      <w:bookmarkEnd w:id="17"/>
      <w:bookmarkEnd w:id="18"/>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规划基准年为2020年，规划期为2020-2030年。</w:t>
      </w:r>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19" w:name="_Toc133539449"/>
      <w:bookmarkStart w:id="20" w:name="_Toc6576"/>
      <w:r>
        <w:rPr>
          <w:rFonts w:hint="eastAsia" w:ascii="楷体_GB2312" w:hAnsi="楷体_GB2312" w:eastAsia="楷体_GB2312" w:cs="楷体_GB2312"/>
          <w:b w:val="0"/>
          <w:spacing w:val="-6"/>
          <w:kern w:val="2"/>
          <w:sz w:val="32"/>
          <w:szCs w:val="32"/>
        </w:rPr>
        <w:t>（四）规划依据</w:t>
      </w:r>
      <w:bookmarkEnd w:id="19"/>
      <w:bookmarkEnd w:id="20"/>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依据以下国家、陕西省和汉中市及洋县相关法律、法规、规划、政策和标准等，编制本建设规划。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1.《中共中央、国务院关于完整准确全面贯彻新发展理念做好碳达峰碳中和工作的意见》</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2.《中共中央办公厅国务院办公厅印发〈关于建立健全生态产品价值实现机制的意见〉的通知》</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3.《2030年前碳达峰行动方案》</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sectPr>
          <w:headerReference r:id="rId13" w:type="default"/>
          <w:footerReference r:id="rId14" w:type="default"/>
          <w:pgSz w:w="11906" w:h="16838"/>
          <w:pgMar w:top="2041" w:right="1417" w:bottom="1928" w:left="1531" w:header="851" w:footer="397" w:gutter="0"/>
          <w:pgNumType w:fmt="numberInDash" w:start="8"/>
          <w:cols w:space="0" w:num="1"/>
          <w:docGrid w:type="lines" w:linePitch="312" w:charSpace="0"/>
        </w:sectPr>
      </w:pP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4.《汉江生态经济带发展规划（2017-2025）》</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5.《秦岭生态环境保护行动方案》</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6.《陕西省国民经济和社会发展第十四个五年规划和二〇三五年远景目标纲要》</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7.《陕西省人民政府关于加快实施“三线一单”生态环境分区管控的意见》</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8.《汉中市国民经济和社会发展第十四个五年规划和二〇三五年远景目标纲要》</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9.《汉中市“十四五”生物多样性（林业）及湿地保护专项规划（2021-2025年）》</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10.《汉中市“十四五”土壤、地下水和农村生态环境保护规划》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11.《汉中市农村公路路网规划（2018-2035年）》</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12.《洋县国民经济和社会发展第十四个五年规划和二〇三五年远景目标纲要》</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13.《洋县国土空间总体规划(2021-2035年)》</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14.《洋县秦岭生态环境保护实施方案》</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15.《洋县现代材料工业园区总体规划（2014-2025）》</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16.《洋县有机产业园区总体规划2020-2030》</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17.《洋县黑米区域公用品牌发展战略规划》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18.《全国朱鹮生态保护产业知名品牌创建示范区规划》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19.《黑米产业发展实施方案》</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sectPr>
          <w:headerReference r:id="rId15" w:type="default"/>
          <w:footerReference r:id="rId16" w:type="default"/>
          <w:pgSz w:w="11906" w:h="16838"/>
          <w:pgMar w:top="2041" w:right="1417" w:bottom="1928" w:left="1531" w:header="851" w:footer="397" w:gutter="0"/>
          <w:pgNumType w:fmt="numberInDash" w:start="9"/>
          <w:cols w:space="0" w:num="1"/>
          <w:docGrid w:type="lines" w:linePitch="312" w:charSpace="0"/>
        </w:sectPr>
      </w:pP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20.《洋县林业“十四五”发展规划》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21.《洋县农业“十四五”工作规划》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22.《洋县水利发展“十四五”规划》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23.《洋县“十四五”综合交通运输发展规划》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24.《洋县“十四五”工业高质量发展规划》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25.《洋县“十四五”商贸流通业发展规划》</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26.《洋县巩固拓展脱贫攻坚成果同乡村振兴有效衔接规划（2021-2025）》</w:t>
      </w:r>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21" w:name="_Toc26137"/>
      <w:bookmarkStart w:id="22" w:name="_Toc133539450"/>
      <w:r>
        <w:rPr>
          <w:rFonts w:hint="eastAsia" w:ascii="楷体_GB2312" w:hAnsi="楷体_GB2312" w:eastAsia="楷体_GB2312" w:cs="楷体_GB2312"/>
          <w:b w:val="0"/>
          <w:spacing w:val="-6"/>
          <w:kern w:val="2"/>
          <w:sz w:val="32"/>
          <w:szCs w:val="32"/>
        </w:rPr>
        <w:t>（五）概念说明</w:t>
      </w:r>
      <w:bookmarkEnd w:id="21"/>
      <w:bookmarkEnd w:id="22"/>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2010年发布的《全国主体功能区划》中首次提出了“生态产品”的概念，将生态产品与农产品、工业品和服务产品并列为人类生活所必需的、可消费的产品。学术研究中的生态产品通常是指在不损害生态系统稳定性和完整性的前提下，为人类提供的生态系统物质和服务产品。到目前为止，学术界对生态产品的内涵界定尚未形成共识，生态产品及其价值实现的内涵与外延也缺乏清晰明确的政策界定。</w:t>
      </w:r>
    </w:p>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考虑到规划背景与编制规划的出发点，本规划以《汉中市国民经济和社会发展第十四个五年规划和二〇三五年远景目标纲要》对生态产品的界定为依据，将生态产品分为水、空气等公共性生态产品、以物质产品和精神产品为支柱的经营性生态产品以及碳排放权等准公共性生态产品三类。</w:t>
      </w:r>
    </w:p>
    <w:p>
      <w:pPr>
        <w:ind w:firstLine="616" w:firstLineChars="200"/>
        <w:rPr>
          <w:rFonts w:ascii="黑体" w:hAnsi="黑体" w:eastAsia="黑体" w:cs="黑体"/>
          <w:spacing w:val="-6"/>
          <w:sz w:val="32"/>
          <w:szCs w:val="32"/>
        </w:rPr>
      </w:pPr>
      <w:bookmarkStart w:id="23" w:name="_Toc20092"/>
      <w:bookmarkStart w:id="24" w:name="_Toc133539451"/>
      <w:r>
        <w:rPr>
          <w:rFonts w:hint="eastAsia" w:ascii="黑体" w:hAnsi="黑体" w:eastAsia="黑体" w:cs="黑体"/>
          <w:spacing w:val="-6"/>
          <w:sz w:val="32"/>
          <w:szCs w:val="32"/>
        </w:rPr>
        <w:t>一、基础与形势</w:t>
      </w:r>
      <w:bookmarkEnd w:id="23"/>
      <w:bookmarkEnd w:id="24"/>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sectPr>
          <w:headerReference r:id="rId17" w:type="default"/>
          <w:footerReference r:id="rId18" w:type="default"/>
          <w:pgSz w:w="11906" w:h="16838"/>
          <w:pgMar w:top="2041" w:right="1417" w:bottom="1928" w:left="1531" w:header="851" w:footer="397" w:gutter="0"/>
          <w:pgNumType w:fmt="numberInDash" w:start="10"/>
          <w:cols w:space="0" w:num="1"/>
          <w:docGrid w:type="lines" w:linePitch="312" w:charSpace="0"/>
        </w:sectPr>
      </w:pPr>
      <w:bookmarkStart w:id="25" w:name="_Toc10666"/>
      <w:bookmarkStart w:id="26" w:name="_Toc133539452"/>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r>
        <w:rPr>
          <w:rFonts w:hint="eastAsia" w:ascii="楷体_GB2312" w:hAnsi="楷体_GB2312" w:eastAsia="楷体_GB2312" w:cs="楷体_GB2312"/>
          <w:b w:val="0"/>
          <w:spacing w:val="-6"/>
          <w:kern w:val="2"/>
          <w:sz w:val="32"/>
          <w:szCs w:val="32"/>
        </w:rPr>
        <w:t>（一）建设基础</w:t>
      </w:r>
      <w:bookmarkEnd w:id="25"/>
      <w:bookmarkEnd w:id="26"/>
    </w:p>
    <w:p>
      <w:pPr>
        <w:tabs>
          <w:tab w:val="left" w:pos="1620"/>
        </w:tabs>
        <w:spacing w:line="58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1</w:t>
      </w:r>
      <w:bookmarkStart w:id="27" w:name="_Hlk152073378"/>
      <w:bookmarkStart w:id="28" w:name="_Hlk86417533"/>
      <w:r>
        <w:rPr>
          <w:rFonts w:hint="eastAsia" w:ascii="仿宋_GB2312" w:hAnsi="仿宋_GB2312" w:eastAsia="仿宋_GB2312" w:cs="仿宋_GB2312"/>
          <w:b/>
          <w:bCs/>
          <w:spacing w:val="-6"/>
          <w:sz w:val="32"/>
          <w:szCs w:val="32"/>
          <w:shd w:val="clear" w:color="auto" w:fill="FFFFFF"/>
        </w:rPr>
        <w:t>.地处全球同纬度生态环境最好的地区</w:t>
      </w:r>
      <w:bookmarkEnd w:id="27"/>
      <w:r>
        <w:rPr>
          <w:rFonts w:hint="eastAsia" w:ascii="仿宋_GB2312" w:hAnsi="仿宋_GB2312" w:eastAsia="仿宋_GB2312" w:cs="仿宋_GB2312"/>
          <w:b/>
          <w:bCs/>
          <w:spacing w:val="-6"/>
          <w:sz w:val="32"/>
          <w:szCs w:val="32"/>
          <w:shd w:val="clear" w:color="auto" w:fill="FFFFFF"/>
        </w:rPr>
        <w:t>，是打造国家级优质生态产品供给基地的首选之地</w:t>
      </w:r>
    </w:p>
    <w:bookmarkEnd w:id="28"/>
    <w:p>
      <w:pPr>
        <w:tabs>
          <w:tab w:val="left" w:pos="1620"/>
        </w:tabs>
        <w:spacing w:line="580" w:lineRule="exact"/>
        <w:ind w:firstLine="616" w:firstLineChars="200"/>
        <w:rPr>
          <w:rFonts w:ascii="仿宋_GB2312" w:hAnsi="仿宋_GB2312" w:eastAsia="仿宋_GB2312" w:cs="仿宋_GB2312"/>
          <w:spacing w:val="-6"/>
          <w:sz w:val="32"/>
          <w:szCs w:val="32"/>
          <w:shd w:val="clear" w:color="auto" w:fill="FFFFFF"/>
        </w:rPr>
        <w:sectPr>
          <w:headerReference r:id="rId19" w:type="default"/>
          <w:footerReference r:id="rId20" w:type="default"/>
          <w:pgSz w:w="11906" w:h="16838"/>
          <w:pgMar w:top="2041" w:right="1417" w:bottom="1928" w:left="1531" w:header="851" w:footer="397" w:gutter="0"/>
          <w:pgNumType w:fmt="numberInDash" w:start="11"/>
          <w:cols w:space="0" w:num="1"/>
          <w:docGrid w:type="lines" w:linePitch="312" w:charSpace="0"/>
        </w:sectPr>
      </w:pPr>
      <w:r>
        <w:rPr>
          <w:rFonts w:hint="eastAsia" w:ascii="仿宋_GB2312" w:hAnsi="仿宋_GB2312" w:eastAsia="仿宋_GB2312" w:cs="仿宋_GB2312"/>
          <w:spacing w:val="-6"/>
          <w:sz w:val="32"/>
          <w:szCs w:val="32"/>
          <w:shd w:val="clear" w:color="auto" w:fill="FFFFFF"/>
        </w:rPr>
        <w:t>洋县位于秦岭南麓，汉中盆地东缘，处于我国南北气候的分界线上，属北亚热带内陆性季风气候，光照充足，气候温和湿润，水热组合条件较好。独特的地理环境孕育了种类丰富的动植物资源，乔木树种达到72科152属321种，野生动物种类超过100种，通过多年努力，珍稀濒危野生动植物及其生存环境得到有效保护，生物多样性实现了恢复性增长。全县活立木蓄积量1689.5万立方米，森林覆盖率达到68.6%，年释氧量估测247万吨</w:t>
      </w:r>
      <w:r>
        <w:rPr>
          <w:rStyle w:val="26"/>
          <w:rFonts w:hint="eastAsia" w:ascii="仿宋_GB2312" w:hAnsi="仿宋_GB2312" w:eastAsia="仿宋_GB2312" w:cs="仿宋_GB2312"/>
          <w:spacing w:val="-6"/>
          <w:sz w:val="32"/>
          <w:szCs w:val="32"/>
          <w:shd w:val="clear" w:color="auto" w:fill="FFFFFF"/>
        </w:rPr>
        <w:footnoteReference w:id="0"/>
      </w:r>
      <w:r>
        <w:rPr>
          <w:rFonts w:hint="eastAsia" w:ascii="仿宋_GB2312" w:hAnsi="仿宋_GB2312" w:eastAsia="仿宋_GB2312" w:cs="仿宋_GB2312"/>
          <w:spacing w:val="-6"/>
          <w:sz w:val="32"/>
          <w:szCs w:val="32"/>
          <w:shd w:val="clear" w:color="auto" w:fill="FFFFFF"/>
        </w:rPr>
        <w:t>，2023年全年空气质量优良天数达到334天。</w:t>
      </w:r>
      <w:r>
        <w:rPr>
          <w:rFonts w:hint="eastAsia" w:ascii="仿宋_GB2312" w:hAnsi="仿宋_GB2312" w:eastAsia="仿宋_GB2312" w:cs="仿宋_GB2312"/>
          <w:spacing w:val="-6"/>
          <w:sz w:val="32"/>
          <w:szCs w:val="32"/>
        </w:rPr>
        <w:t>汉江自西入县境，</w:t>
      </w:r>
      <w:r>
        <w:rPr>
          <w:rFonts w:hint="eastAsia" w:ascii="仿宋_GB2312" w:hAnsi="仿宋_GB2312" w:eastAsia="仿宋_GB2312" w:cs="仿宋_GB2312"/>
          <w:spacing w:val="-6"/>
          <w:sz w:val="32"/>
          <w:szCs w:val="32"/>
          <w:shd w:val="clear" w:color="auto" w:fill="FFFFFF"/>
        </w:rPr>
        <w:t>水系发达，河溪纵横，水环境优良，溢水河、</w:t>
      </w:r>
      <w:r>
        <w:rPr>
          <w:rFonts w:ascii="仿宋_GB2312" w:hAnsi="仿宋_GB2312" w:eastAsia="仿宋_GB2312" w:cs="仿宋_GB2312"/>
          <w:spacing w:val="-6"/>
          <w:sz w:val="32"/>
          <w:szCs w:val="32"/>
          <w:shd w:val="clear" w:color="auto" w:fill="FFFFFF"/>
        </w:rPr>
        <w:t>傥</w:t>
      </w:r>
      <w:r>
        <w:rPr>
          <w:rFonts w:hint="eastAsia" w:ascii="仿宋_GB2312" w:hAnsi="仿宋_GB2312" w:eastAsia="仿宋_GB2312" w:cs="仿宋_GB2312"/>
          <w:spacing w:val="-6"/>
          <w:sz w:val="32"/>
          <w:szCs w:val="32"/>
          <w:shd w:val="clear" w:color="auto" w:fill="FFFFFF"/>
        </w:rPr>
        <w:t>河、金水河等断面水质连续多年保持Ⅱ类水标准，部分时段酉水河断面水质已达到Ⅰ类水标准。洋县是陕西省唯一建有朱鹮和长青两个国家级自然保护区的地区，是秦岭这一“具有全球意义的生物多样性保护关键地区”的不可或缺的有机组成部分，被誉为地球上同纬度生态最好的地区之一，是国家南水北调中线工程重要的水源地和陕西省“引汉济渭”工程饮用水水源地，关乎京津冀、关中天水、长江中下游等我国主要城市群的长期繁荣稳定，</w:t>
      </w:r>
      <w:bookmarkStart w:id="29" w:name="_Hlk152073404"/>
      <w:bookmarkStart w:id="30" w:name="_Hlk105091832"/>
      <w:r>
        <w:rPr>
          <w:rFonts w:hint="eastAsia" w:ascii="仿宋_GB2312" w:hAnsi="仿宋_GB2312" w:eastAsia="仿宋_GB2312" w:cs="仿宋_GB2312"/>
          <w:spacing w:val="-6"/>
          <w:sz w:val="32"/>
          <w:szCs w:val="32"/>
          <w:shd w:val="clear" w:color="auto" w:fill="FFFFFF"/>
        </w:rPr>
        <w:t>生态功能极为突出，地理位置十分重要</w:t>
      </w:r>
      <w:bookmarkEnd w:id="29"/>
      <w:r>
        <w:rPr>
          <w:rFonts w:hint="eastAsia" w:ascii="仿宋_GB2312" w:hAnsi="仿宋_GB2312" w:eastAsia="仿宋_GB2312" w:cs="仿宋_GB2312"/>
          <w:spacing w:val="-6"/>
          <w:sz w:val="32"/>
          <w:szCs w:val="32"/>
          <w:shd w:val="clear" w:color="auto" w:fill="FFFFFF"/>
        </w:rPr>
        <w:t>，是在</w:t>
      </w:r>
      <w:bookmarkStart w:id="31" w:name="_Hlk152073432"/>
      <w:r>
        <w:rPr>
          <w:rFonts w:hint="eastAsia" w:ascii="仿宋_GB2312" w:hAnsi="仿宋_GB2312" w:eastAsia="仿宋_GB2312" w:cs="仿宋_GB2312"/>
          <w:spacing w:val="-6"/>
          <w:sz w:val="32"/>
          <w:szCs w:val="32"/>
          <w:shd w:val="clear" w:color="auto" w:fill="FFFFFF"/>
        </w:rPr>
        <w:t>国家重要生态屏障地区</w:t>
      </w:r>
      <w:bookmarkEnd w:id="31"/>
      <w:r>
        <w:rPr>
          <w:rFonts w:hint="eastAsia" w:ascii="仿宋_GB2312" w:hAnsi="仿宋_GB2312" w:eastAsia="仿宋_GB2312" w:cs="仿宋_GB2312"/>
          <w:spacing w:val="-6"/>
          <w:sz w:val="32"/>
          <w:szCs w:val="32"/>
          <w:shd w:val="clear" w:color="auto" w:fill="FFFFFF"/>
        </w:rPr>
        <w:t>统筹开展生态文明建设</w:t>
      </w:r>
    </w:p>
    <w:p>
      <w:pPr>
        <w:tabs>
          <w:tab w:val="left" w:pos="1620"/>
        </w:tabs>
        <w:spacing w:line="580" w:lineRule="exact"/>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与经济社会高质量绿色发展先行示范，加快打造国家级生态产品供给基地的首选之地。</w:t>
      </w:r>
    </w:p>
    <w:bookmarkEnd w:id="30"/>
    <w:p>
      <w:pPr>
        <w:tabs>
          <w:tab w:val="left" w:pos="1620"/>
        </w:tabs>
        <w:spacing w:line="58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2</w:t>
      </w:r>
      <w:bookmarkStart w:id="32" w:name="_Hlk152073491"/>
      <w:r>
        <w:rPr>
          <w:rFonts w:hint="eastAsia" w:ascii="仿宋_GB2312" w:hAnsi="仿宋_GB2312" w:eastAsia="仿宋_GB2312" w:cs="仿宋_GB2312"/>
          <w:b/>
          <w:bCs/>
          <w:spacing w:val="-6"/>
          <w:sz w:val="32"/>
          <w:szCs w:val="32"/>
          <w:shd w:val="clear" w:color="auto" w:fill="FFFFFF"/>
        </w:rPr>
        <w:t>.位于国家重大区域战略交汇处</w:t>
      </w:r>
      <w:bookmarkEnd w:id="32"/>
      <w:r>
        <w:rPr>
          <w:rFonts w:hint="eastAsia" w:ascii="仿宋_GB2312" w:hAnsi="仿宋_GB2312" w:eastAsia="仿宋_GB2312" w:cs="仿宋_GB2312"/>
          <w:b/>
          <w:bCs/>
          <w:spacing w:val="-6"/>
          <w:sz w:val="32"/>
          <w:szCs w:val="32"/>
          <w:shd w:val="clear" w:color="auto" w:fill="FFFFFF"/>
        </w:rPr>
        <w:t>，</w:t>
      </w:r>
      <w:bookmarkStart w:id="33" w:name="_Hlk152073470"/>
      <w:r>
        <w:rPr>
          <w:rFonts w:hint="eastAsia" w:ascii="仿宋_GB2312" w:hAnsi="仿宋_GB2312" w:eastAsia="仿宋_GB2312" w:cs="仿宋_GB2312"/>
          <w:b/>
          <w:bCs/>
          <w:spacing w:val="-6"/>
          <w:sz w:val="32"/>
          <w:szCs w:val="32"/>
          <w:shd w:val="clear" w:color="auto" w:fill="FFFFFF"/>
        </w:rPr>
        <w:t>区位优势叠加持续放大发展红利</w:t>
      </w:r>
      <w:bookmarkEnd w:id="33"/>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shd w:val="clear" w:color="auto" w:fill="FFFFFF"/>
        </w:rPr>
        <w:t>洋县地处关中-天水经济区、</w:t>
      </w:r>
      <w:r>
        <w:rPr>
          <w:rFonts w:hint="eastAsia" w:ascii="仿宋_GB2312" w:hAnsi="仿宋_GB2312" w:eastAsia="仿宋_GB2312" w:cs="仿宋_GB2312"/>
          <w:spacing w:val="-6"/>
          <w:sz w:val="32"/>
          <w:szCs w:val="32"/>
          <w:shd w:val="clear" w:color="auto" w:fill="FFFFFF"/>
          <w:lang w:eastAsia="zh-CN"/>
        </w:rPr>
        <w:t>成渝地区双城经济圈</w:t>
      </w:r>
      <w:r>
        <w:rPr>
          <w:rFonts w:hint="eastAsia" w:ascii="仿宋_GB2312" w:hAnsi="仿宋_GB2312" w:eastAsia="仿宋_GB2312" w:cs="仿宋_GB2312"/>
          <w:spacing w:val="-6"/>
          <w:sz w:val="32"/>
          <w:szCs w:val="32"/>
          <w:shd w:val="clear" w:color="auto" w:fill="FFFFFF"/>
        </w:rPr>
        <w:t>之间，位于西</w:t>
      </w:r>
      <w:r>
        <w:rPr>
          <w:rFonts w:hint="eastAsia" w:ascii="仿宋_GB2312" w:hAnsi="仿宋_GB2312" w:eastAsia="仿宋_GB2312" w:cs="仿宋_GB2312"/>
          <w:spacing w:val="-6"/>
          <w:sz w:val="32"/>
          <w:szCs w:val="32"/>
        </w:rPr>
        <w:t>安都市圈规划构建的“一圈一轴三带”总体格局中“三带”京昆发展带的南向延伸线上，北距西安220公里，南距成都500公里。随着关中天水经济圈、</w:t>
      </w:r>
      <w:r>
        <w:rPr>
          <w:rFonts w:hint="eastAsia" w:ascii="仿宋_GB2312" w:hAnsi="仿宋_GB2312" w:eastAsia="仿宋_GB2312" w:cs="仿宋_GB2312"/>
          <w:spacing w:val="-6"/>
          <w:sz w:val="32"/>
          <w:szCs w:val="32"/>
          <w:lang w:eastAsia="zh-CN"/>
        </w:rPr>
        <w:t>成渝地区双城经济圈</w:t>
      </w:r>
      <w:r>
        <w:rPr>
          <w:rFonts w:hint="eastAsia" w:ascii="仿宋_GB2312" w:hAnsi="仿宋_GB2312" w:eastAsia="仿宋_GB2312" w:cs="仿宋_GB2312"/>
          <w:spacing w:val="-6"/>
          <w:sz w:val="32"/>
          <w:szCs w:val="32"/>
        </w:rPr>
        <w:t>的进一步崛起和经济腹地的不断扩大，两大经济圈对接延伸形成的交汇叠加影响将双向辐射洋县，进一步重塑洋县经济地理区位。同时，汉江航道通航能力的增强和洋县港基础设施的提升也将促进洋县在沿汉江发展轴的区位优势逐步显现。多重优势叠加将不断放大地处关中-天水经济区、</w:t>
      </w:r>
      <w:r>
        <w:rPr>
          <w:rFonts w:hint="eastAsia" w:ascii="仿宋_GB2312" w:hAnsi="仿宋_GB2312" w:eastAsia="仿宋_GB2312" w:cs="仿宋_GB2312"/>
          <w:spacing w:val="-6"/>
          <w:sz w:val="32"/>
          <w:szCs w:val="32"/>
          <w:lang w:eastAsia="zh-CN"/>
        </w:rPr>
        <w:t>成渝地区双城经济圈</w:t>
      </w:r>
      <w:r>
        <w:rPr>
          <w:rFonts w:hint="eastAsia" w:ascii="仿宋_GB2312" w:hAnsi="仿宋_GB2312" w:eastAsia="仿宋_GB2312" w:cs="仿宋_GB2312"/>
          <w:spacing w:val="-6"/>
          <w:sz w:val="32"/>
          <w:szCs w:val="32"/>
        </w:rPr>
        <w:t>和汉江生态经济带交汇处的节点效应，有助于洋县突破县域影响力小、经济腹地狭窄、功能等级偏低等束缚，为打造国字号的生态产品供给基地奠定了坚实的区域基础。</w:t>
      </w:r>
    </w:p>
    <w:p>
      <w:pPr>
        <w:tabs>
          <w:tab w:val="left" w:pos="1620"/>
        </w:tabs>
        <w:spacing w:line="58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3.特色有机产业全域发展，厚积成势领跑全国</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依托得天独厚的空气、土壤、水等优质自然条件，洋县大力发展有机农业，有机种植覆盖全县各乡镇，全县累计认证稻米、果品、食用菌、中药材等15大类110种有机或有机转化产品生产，认证有机或有机转换面积17.58万亩，形成了“米、果、药、菌、畜”五大特色有机农业。以有机生鲜产品为原料的加工园区初具规模，有机五彩米、黄酒、薯类食品等生产线相继投产，基本形成西北地区最大的集有机产品加工、科研、贸易、物流、信息于一体的有机产品综合生产基地。经过近20年的发展，洋县有机产业形成了“生产、加工、物流、销售”全链式联动推进的全新格局，在全国率先走出了一条“规模化、基地化、产业化、品牌化、园区化、标准化”的有机产业发展之路，为在食品安全领域进一步探索发展路径，加快打造国家级生态产品供给基地奠定了产业基础。</w:t>
      </w:r>
    </w:p>
    <w:p>
      <w:pPr>
        <w:tabs>
          <w:tab w:val="left" w:pos="1620"/>
        </w:tabs>
        <w:overflowPunct w:val="0"/>
        <w:spacing w:line="59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4.绿色产业体系引育起步加速，产业生态化基础不断夯实</w:t>
      </w:r>
    </w:p>
    <w:p>
      <w:pPr>
        <w:tabs>
          <w:tab w:val="left" w:pos="1620"/>
        </w:tabs>
        <w:overflowPunct w:val="0"/>
        <w:spacing w:line="59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洋县全域的清新空气、清澈水质、清洁环境不仅是生态产业化的自然基础，同时也为洋县生态赋能、绿色赋能促进产业生态化提供持续动能。依托这一得天独厚的优势，洋县着力构筑以有机产业、现代材料、生态文旅、养老养生产业为主的绿色产业体系。截至2023年底，全县有机产业年总产量4.08万吨，实现产值38亿元，占全县生产总值的比重已经达到18%。依托绿色（有机）循环产业园区等功能平台，现代材料等具有一定竞争优势的产业集群加速形成，为加快推进绿色制造业强县奠定了基础。立足优越的自然资源和朱鹮、蔡伦两个生态文化IP品牌，着力打造“1+5+3”的生态文旅开发格局，大力发展医养健康、养老养生等新业态，华阳古镇5A景区创建等一批重大项目加速落地，为进一步发展绿色赋能产业，促进产业生态化奠定坚实基础。</w:t>
      </w:r>
    </w:p>
    <w:p>
      <w:pPr>
        <w:tabs>
          <w:tab w:val="left" w:pos="1620"/>
        </w:tabs>
        <w:overflowPunct w:val="0"/>
        <w:spacing w:line="590" w:lineRule="exact"/>
        <w:ind w:firstLine="619" w:firstLineChars="200"/>
        <w:rPr>
          <w:rFonts w:hint="eastAsia"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5.六区联建工作屡创辉煌，区域品牌影响力持续提升</w:t>
      </w:r>
    </w:p>
    <w:p>
      <w:pPr>
        <w:tabs>
          <w:tab w:val="left" w:pos="1620"/>
        </w:tabs>
        <w:overflowPunct w:val="0"/>
        <w:spacing w:line="59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洋县2015年被国家认监委授予全国首批“国家有机产品认证示范区”，2017年被国家质检总局命名为“全国朱鹮生态保护产业知名品牌创建示范区”，2019年被农业农村部等八部委确定为“国家农业绿色发展先行区”，</w:t>
      </w:r>
      <w:r>
        <w:rPr>
          <w:rFonts w:hint="eastAsia" w:ascii="仿宋_GB2312" w:hAnsi="仿宋_GB2312" w:eastAsia="仿宋_GB2312" w:cs="仿宋_GB2312"/>
          <w:color w:val="000000" w:themeColor="text1"/>
          <w:spacing w:val="-6"/>
          <w:sz w:val="32"/>
          <w:szCs w:val="32"/>
        </w:rPr>
        <w:t>2021年又被国家发改委等七部委联名确定为“国家农村产业融合发展示范园区”，</w:t>
      </w:r>
      <w:r>
        <w:rPr>
          <w:rFonts w:hint="eastAsia" w:ascii="仿宋_GB2312" w:hAnsi="仿宋_GB2312" w:eastAsia="仿宋_GB2312" w:cs="仿宋_GB2312"/>
          <w:spacing w:val="-6"/>
          <w:sz w:val="32"/>
          <w:szCs w:val="32"/>
        </w:rPr>
        <w:t>目前正在奋力创建“陕西省特色专业园区”“陕西省高新技术示范园区”，为加快打造国家级生态产品供给基地奠定了品牌基础。</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洋县打造国家级生态产品供给基地仍面临不少亟待解决的重大问题：“产业生态化、生态产业化”路径有待全面深化，“两山”转化通道亟待拓宽；有机产业盈利能力与潜在价值不匹配，经营性生态产品供给能力质量需要进一步提升；生态环境高水平保护下自主发展受限，产业选择面狭窄，财政收入总量偏小，扩大提升公共生态产品供给的支撑能力明显不足。</w:t>
      </w:r>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34" w:name="_Toc9098"/>
      <w:bookmarkStart w:id="35" w:name="_Toc133539453"/>
      <w:r>
        <w:rPr>
          <w:rFonts w:hint="eastAsia" w:ascii="楷体_GB2312" w:hAnsi="楷体_GB2312" w:eastAsia="楷体_GB2312" w:cs="楷体_GB2312"/>
          <w:b w:val="0"/>
          <w:spacing w:val="-6"/>
          <w:kern w:val="2"/>
          <w:sz w:val="32"/>
          <w:szCs w:val="32"/>
        </w:rPr>
        <w:t>（二）发展环境</w:t>
      </w:r>
      <w:bookmarkEnd w:id="34"/>
      <w:bookmarkEnd w:id="35"/>
    </w:p>
    <w:p>
      <w:pPr>
        <w:tabs>
          <w:tab w:val="left" w:pos="1620"/>
        </w:tabs>
        <w:spacing w:line="58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 xml:space="preserve">1.重大机遇 </w:t>
      </w:r>
    </w:p>
    <w:p>
      <w:pPr>
        <w:tabs>
          <w:tab w:val="left" w:pos="1620"/>
        </w:tabs>
        <w:spacing w:line="580" w:lineRule="exact"/>
        <w:ind w:firstLine="616" w:firstLineChars="200"/>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rPr>
        <w:t>国家生态建设政策密集出台为洋县打造国家级优质生态产品供给基地奠定新基础。</w:t>
      </w:r>
      <w:r>
        <w:rPr>
          <w:rFonts w:hint="eastAsia" w:ascii="仿宋_GB2312" w:hAnsi="仿宋_GB2312" w:eastAsia="仿宋_GB2312" w:cs="仿宋_GB2312"/>
          <w:spacing w:val="-6"/>
          <w:sz w:val="32"/>
          <w:szCs w:val="32"/>
          <w:shd w:val="clear" w:color="auto" w:fill="FFFFFF"/>
        </w:rPr>
        <w:t>党的十八大以来，以习近平同志为核心的党中央推动我国生态文明建设不断迈上新台阶。党的十九大明确提出，要提供更多优质生态产品以满足人民日益增长的优美生态环境需要。2021年2月21日，中央全面深化改革委员会第十八次会议强调，建立生态产品价值实现机制关键是要构建绿水青山转化为金山银山的政策制度体系，推进生态产业化和产业生态化。</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shd w:val="clear" w:color="auto" w:fill="FFFFFF"/>
        </w:rPr>
        <w:t>2021年4月26日，中共中央办公厅、国务院办公厅印发了《关于建立健全生态产品价值实现机制的意见》。从生态文明建设的顶层设计到生态产品价值实现的具体实施意见，国家密集出台的政策措施有利于各地</w:t>
      </w:r>
      <w:r>
        <w:rPr>
          <w:rFonts w:hint="eastAsia" w:ascii="仿宋_GB2312" w:hAnsi="仿宋_GB2312" w:eastAsia="仿宋_GB2312" w:cs="仿宋_GB2312"/>
          <w:spacing w:val="-6"/>
          <w:sz w:val="32"/>
          <w:szCs w:val="32"/>
        </w:rPr>
        <w:t>探索不同类型的绿水青山和金山银山转换通道，</w:t>
      </w:r>
      <w:r>
        <w:rPr>
          <w:rFonts w:hint="eastAsia" w:ascii="仿宋_GB2312" w:hAnsi="仿宋_GB2312" w:eastAsia="仿宋_GB2312" w:cs="仿宋_GB2312"/>
          <w:spacing w:val="-6"/>
          <w:sz w:val="32"/>
          <w:szCs w:val="32"/>
          <w:shd w:val="clear" w:color="auto" w:fill="FFFFFF"/>
        </w:rPr>
        <w:t>为</w:t>
      </w:r>
      <w:r>
        <w:rPr>
          <w:rFonts w:hint="eastAsia" w:ascii="仿宋_GB2312" w:hAnsi="仿宋_GB2312" w:eastAsia="仿宋_GB2312" w:cs="仿宋_GB2312"/>
          <w:spacing w:val="-6"/>
          <w:sz w:val="32"/>
          <w:szCs w:val="32"/>
        </w:rPr>
        <w:t>促进洋县生态系统生产总值和国民经济生产总值的双增长，加快打造国家级生态产品供给基地奠定制度保障。</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双碳”战略落地实施为打造国家优质生态产品供给基地带来新机遇。2020年9月我国明确提出2030年“碳达峰”与2060年“碳中和”目标，为确保如期实现碳达峰碳中和，中共中央、国务院先后印发《关于完整准确全面贯彻新发展理念做好碳达峰碳中和工作的意见》《2030年前碳达峰行动方案》等政策文件，着力构建碳达峰碳中和的“1+N”政策体系。实现碳达峰碳中和是推动高质量发展的内在要求，也是未来40年中国经济社会发展的主基调，全国范围内从中央到地方都已形成积极落实“双碳”目标的良好氛围，有利于</w:t>
      </w:r>
      <w:r>
        <w:rPr>
          <w:rFonts w:hint="eastAsia" w:ascii="仿宋_GB2312" w:hAnsi="仿宋_GB2312" w:eastAsia="仿宋_GB2312" w:cs="仿宋_GB2312"/>
          <w:spacing w:val="-6"/>
          <w:sz w:val="32"/>
          <w:szCs w:val="32"/>
          <w:shd w:val="clear" w:color="auto" w:fill="FFFFFF"/>
        </w:rPr>
        <w:t>促进</w:t>
      </w:r>
      <w:r>
        <w:rPr>
          <w:rFonts w:hint="eastAsia" w:ascii="仿宋_GB2312" w:hAnsi="仿宋_GB2312" w:eastAsia="仿宋_GB2312" w:cs="仿宋_GB2312"/>
          <w:spacing w:val="-6"/>
          <w:sz w:val="32"/>
          <w:szCs w:val="32"/>
        </w:rPr>
        <w:t>碳排放权交易市场早日形成和完善，有利于洋县积极参与林业碳汇交易，为打造国家级生态产品供给基地提供新契机。</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国家重大区域发展战略叠加为打造国家级优质生态产品供给基地拓展新空间。洋县位于汉江生态经济带规划确定的沿汉江发展轴与关中—天水、成渝两大城市群交汇叠加区，多重国家重大战略与自身优势交汇，有利于洋县主动接受成都、西安等经济中心的辐射，有利于依托港口和汉江航道共享经济溯江而上梯度发展带来的红利，有利于通过紧密衔接优势不断凸显的西部陆海新通道深度融入“一带一路”更大地域范围的经济循环，促进产业生态化高质量发展。同时，长江经济带“共抓大保护、不搞大开发”等要求，有利于洋县与周边区域实现自然生态共保、跨界环境问题联治，不断增强区域优质生态产品供给能力。</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秦岭生态环境保护力度不断加大为打造国家级生态产品供给基地提供新支撑。为深入贯彻落实习近平总书记关于秦岭生态环境保护的重要批示指示，把绿水青山建得更美，把金山银山做得更大，近年来陕西省先后出台了《陕西省秦岭生态环境保护条例》和《陕西省秦岭生态环境保护总体规划》等相关文件，对秦岭生态环境保护力度加大，加快推进环境污染全形态治理、全链条治理、全流域治理，为洋县增强区域优质生态产品供给能力，协同周边县市生产更加清新的空气、清澈的水质、清洁的环境等优质生态产品提供新的支撑。</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新一轮产业技术革命加速推进为打造国家级生态产品供给基地带来新动力。以互联网、物联网、大数据、人工智能等为特征的新一轮科技革命和产业革命正在把人类社会推向一个崭新的、前所未有的智能互联时代，新产业、新技术、新设施、新模式等在经济和社会领域的应用不断拓宽，必将为生态产品的生产、流通、消费等各个环节产生重大影响，对洋县积极参与碳汇交易、依托“无市场边界”的互联网平台发展有机产业、引育环境敏感型产业等提供了战略机遇，为加快打造国家级生态产品供给基地带来巨大推力。</w:t>
      </w:r>
    </w:p>
    <w:p>
      <w:pPr>
        <w:tabs>
          <w:tab w:val="left" w:pos="1620"/>
        </w:tabs>
        <w:spacing w:line="580" w:lineRule="exact"/>
        <w:ind w:firstLine="619" w:firstLineChars="200"/>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bCs/>
          <w:spacing w:val="-6"/>
          <w:sz w:val="32"/>
          <w:szCs w:val="32"/>
          <w:shd w:val="clear" w:color="auto" w:fill="FFFFFF"/>
        </w:rPr>
        <w:t xml:space="preserve">2.面临挑战 </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产品价值实现机制仍处于探索阶段。洋县实现生态产业化，关键在于生态产品价值实现机制。但作为一项系统性开创工作，生态产品价值实现机制仍处于探索阶段，目前高占比的调节服务类价值实现仍主要依赖政府主导的纵向生态补偿，企业、社会、公益组织参与度不高，在一定程度上影响了调节服务类生态产品信用化和生态资产资本化，以产权改革、主体培育、交易机制等为核心内容的生态产品价值市场化实现的机制尚需进一步构建，政府主导、企业和社会各界参与、市场化运作的可持续生态产品价值实现路径尚需进一步畅通。</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设国家级生态产品供给基地的支持政策有待深化。优质生态产品的供给与价值实现需要多区域协同联动以及政府主导下企业和社会各界的参与，在县域层面建设国家级生态产品供给基地更需要自上而下的政策支持。目前国家尚未出台建设生态产品供给基地的相关政策，洋县提升生态产品供给能力、拓宽两山转化通道等，都需要争取更高能级的政策平台进行政策创新。</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有机产业持续发展动力不足。当前，国内市场对有机产业和产品的刚性需求仍处于培育阶段，公众对有机产品价值认知普遍不足，高品质有机产品尚未达到合理的市场定价，有机产业本应具有的经济价值与收益尚不匹配，这同样会对洋县高质量发展有机产业，持续推动产业生态化进程产生较大的制约。</w:t>
      </w:r>
    </w:p>
    <w:p>
      <w:pPr>
        <w:pStyle w:val="3"/>
        <w:spacing w:before="0" w:after="0" w:line="580" w:lineRule="exact"/>
        <w:ind w:firstLine="616" w:firstLineChars="200"/>
        <w:rPr>
          <w:rFonts w:ascii="黑体" w:hAnsi="黑体" w:eastAsia="黑体" w:cs="黑体"/>
          <w:b w:val="0"/>
          <w:bCs w:val="0"/>
          <w:spacing w:val="-6"/>
          <w:kern w:val="2"/>
          <w:sz w:val="32"/>
          <w:szCs w:val="32"/>
        </w:rPr>
      </w:pPr>
      <w:bookmarkStart w:id="36" w:name="_Toc133539454"/>
      <w:bookmarkStart w:id="37" w:name="_Toc31325"/>
      <w:r>
        <w:rPr>
          <w:rFonts w:hint="eastAsia" w:ascii="黑体" w:hAnsi="黑体" w:eastAsia="黑体" w:cs="黑体"/>
          <w:b w:val="0"/>
          <w:bCs w:val="0"/>
          <w:spacing w:val="-6"/>
          <w:kern w:val="2"/>
          <w:sz w:val="32"/>
          <w:szCs w:val="32"/>
        </w:rPr>
        <w:t>二、总体思路</w:t>
      </w:r>
      <w:bookmarkEnd w:id="36"/>
      <w:bookmarkEnd w:id="37"/>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38" w:name="_Toc13437"/>
      <w:bookmarkStart w:id="39" w:name="_Toc133539455"/>
      <w:r>
        <w:rPr>
          <w:rFonts w:hint="eastAsia" w:ascii="楷体_GB2312" w:hAnsi="楷体_GB2312" w:eastAsia="楷体_GB2312" w:cs="楷体_GB2312"/>
          <w:b w:val="0"/>
          <w:spacing w:val="-6"/>
          <w:kern w:val="2"/>
          <w:sz w:val="32"/>
          <w:szCs w:val="32"/>
        </w:rPr>
        <w:t>（一）指导思想</w:t>
      </w:r>
      <w:bookmarkEnd w:id="38"/>
      <w:bookmarkEnd w:id="39"/>
    </w:p>
    <w:p>
      <w:pPr>
        <w:spacing w:line="580" w:lineRule="exact"/>
        <w:ind w:firstLine="616" w:firstLineChars="200"/>
        <w:rPr>
          <w:rFonts w:ascii="仿宋_GB2312" w:hAnsi="仿宋_GB2312" w:eastAsia="仿宋_GB2312" w:cs="仿宋_GB2312"/>
          <w:spacing w:val="-6"/>
          <w:sz w:val="32"/>
          <w:szCs w:val="32"/>
        </w:rPr>
      </w:pPr>
      <w:bookmarkStart w:id="40" w:name="_Hlk152069638"/>
      <w:r>
        <w:rPr>
          <w:rFonts w:hint="eastAsia" w:ascii="仿宋_GB2312" w:hAnsi="仿宋_GB2312" w:eastAsia="仿宋_GB2312" w:cs="仿宋_GB2312"/>
          <w:spacing w:val="-6"/>
          <w:sz w:val="32"/>
          <w:szCs w:val="32"/>
        </w:rPr>
        <w:t>以习近平新时代中国特色社会主义思想、特别是</w:t>
      </w:r>
      <w:r>
        <w:rPr>
          <w:rFonts w:hint="eastAsia" w:ascii="仿宋_GB2312" w:hAnsi="仿宋_GB2312" w:eastAsia="仿宋_GB2312" w:cs="仿宋_GB2312"/>
          <w:spacing w:val="-6"/>
          <w:sz w:val="32"/>
          <w:szCs w:val="32"/>
          <w:lang w:val="en-US" w:eastAsia="zh-CN"/>
        </w:rPr>
        <w:t>习近平</w:t>
      </w:r>
      <w:r>
        <w:rPr>
          <w:rFonts w:hint="eastAsia" w:ascii="仿宋_GB2312" w:hAnsi="仿宋_GB2312" w:eastAsia="仿宋_GB2312" w:cs="仿宋_GB2312"/>
          <w:spacing w:val="-6"/>
          <w:sz w:val="32"/>
          <w:szCs w:val="32"/>
        </w:rPr>
        <w:t>生态文明思想为指导，坚持供给侧结构性改革，深入贯彻新发展理念，以生态保护为前提，以“产业生态化，生态产业化”为主线，以改革创新为动力，聚焦推进生态优势变为经济优势和促进人人共享生态文明建设红利，加大生态建设和环境保护力度提高公共性生态产品供给能力，加快发展有机、现代材料、文旅康养等产业增强经营性生态产品供应能力，加快建设“两山”高效率转化通道，探索构建多元化生态产品价值实现机制，高水平建设重大功能平台，高强度夯实支撑能力，</w:t>
      </w:r>
      <w:bookmarkStart w:id="41" w:name="_Hlk152103024"/>
      <w:r>
        <w:rPr>
          <w:rFonts w:hint="eastAsia" w:ascii="仿宋_GB2312" w:hAnsi="仿宋_GB2312" w:eastAsia="仿宋_GB2312" w:cs="仿宋_GB2312"/>
          <w:spacing w:val="-6"/>
          <w:sz w:val="32"/>
          <w:szCs w:val="32"/>
        </w:rPr>
        <w:t>协同推进全国优质生态产品融合发展示范区、西部生态产品价值实现机制示范区、全国生态产品综合交易中心建设</w:t>
      </w:r>
      <w:bookmarkEnd w:id="41"/>
      <w:r>
        <w:rPr>
          <w:rFonts w:hint="eastAsia" w:ascii="仿宋_GB2312" w:hAnsi="仿宋_GB2312" w:eastAsia="仿宋_GB2312" w:cs="仿宋_GB2312"/>
          <w:spacing w:val="-6"/>
          <w:sz w:val="32"/>
          <w:szCs w:val="32"/>
        </w:rPr>
        <w:t>，打造全国优质生态产品供给基地。</w:t>
      </w:r>
    </w:p>
    <w:bookmarkEnd w:id="40"/>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42" w:name="_Toc133539456"/>
      <w:bookmarkStart w:id="43" w:name="_Toc26243"/>
      <w:r>
        <w:rPr>
          <w:rFonts w:hint="eastAsia" w:ascii="楷体_GB2312" w:hAnsi="楷体_GB2312" w:eastAsia="楷体_GB2312" w:cs="楷体_GB2312"/>
          <w:b w:val="0"/>
          <w:spacing w:val="-6"/>
          <w:kern w:val="2"/>
          <w:sz w:val="32"/>
          <w:szCs w:val="32"/>
        </w:rPr>
        <w:t>（二）战略定位</w:t>
      </w:r>
      <w:bookmarkEnd w:id="42"/>
      <w:bookmarkEnd w:id="43"/>
      <w:r>
        <w:rPr>
          <w:rFonts w:hint="eastAsia" w:ascii="楷体_GB2312" w:hAnsi="楷体_GB2312" w:eastAsia="楷体_GB2312" w:cs="楷体_GB2312"/>
          <w:b w:val="0"/>
          <w:spacing w:val="-6"/>
          <w:kern w:val="2"/>
          <w:sz w:val="32"/>
          <w:szCs w:val="32"/>
        </w:rPr>
        <w:t xml:space="preserve"> </w:t>
      </w:r>
    </w:p>
    <w:p>
      <w:pPr>
        <w:spacing w:line="58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b/>
          <w:spacing w:val="-6"/>
          <w:sz w:val="32"/>
          <w:szCs w:val="32"/>
        </w:rPr>
        <w:t>全国优质生态产品融合发展示范区：</w:t>
      </w:r>
      <w:r>
        <w:rPr>
          <w:rFonts w:hint="eastAsia" w:ascii="仿宋_GB2312" w:hAnsi="仿宋_GB2312" w:eastAsia="仿宋_GB2312" w:cs="仿宋_GB2312"/>
          <w:sz w:val="32"/>
          <w:szCs w:val="32"/>
        </w:rPr>
        <w:t>以深化生态产品</w:t>
      </w:r>
      <w:r>
        <w:rPr>
          <w:rFonts w:hint="eastAsia" w:ascii="仿宋_GB2312" w:hAnsi="仿宋_GB2312" w:eastAsia="仿宋_GB2312" w:cs="仿宋_GB2312"/>
          <w:sz w:val="32"/>
          <w:szCs w:val="32"/>
          <w:lang w:eastAsia="zh-CN"/>
        </w:rPr>
        <w:t>供给侧结构性改革</w:t>
      </w:r>
      <w:r>
        <w:rPr>
          <w:rFonts w:hint="eastAsia" w:ascii="仿宋_GB2312" w:hAnsi="仿宋_GB2312" w:eastAsia="仿宋_GB2312" w:cs="仿宋_GB2312"/>
          <w:sz w:val="32"/>
          <w:szCs w:val="32"/>
        </w:rPr>
        <w:t>为主线，以“特色有机产业、全域生态文旅、优质康养服务”三大核心产业为重点，以“生态化、全产业链化、品牌化、数字化、规模化、国际化”为发展路径，强化国家农业绿色发展先行区建设成果，精特色、筑平台、育品牌、强龙头，加快人才、物、技术、信息、平台等核心要素聚集，促进生态产业全链条延伸拓展、</w:t>
      </w:r>
      <w:r>
        <w:rPr>
          <w:rFonts w:hint="eastAsia" w:ascii="仿宋_GB2312" w:hAnsi="仿宋_GB2312" w:eastAsia="仿宋_GB2312" w:cs="仿宋_GB2312"/>
          <w:sz w:val="32"/>
          <w:szCs w:val="32"/>
          <w:lang w:eastAsia="zh-CN"/>
        </w:rPr>
        <w:t>国内国际双循环</w:t>
      </w:r>
      <w:r>
        <w:rPr>
          <w:rFonts w:hint="eastAsia" w:ascii="仿宋_GB2312" w:hAnsi="仿宋_GB2312" w:eastAsia="仿宋_GB2312" w:cs="仿宋_GB2312"/>
          <w:sz w:val="32"/>
          <w:szCs w:val="32"/>
        </w:rPr>
        <w:t>互促协同、优质生态产品供给能力显著增强，打造有影响力的全国优质生态产品融合发展示范区。</w:t>
      </w:r>
    </w:p>
    <w:p>
      <w:pPr>
        <w:spacing w:line="580" w:lineRule="exact"/>
        <w:ind w:firstLine="619"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——西部生态产品价值实现机制示范区</w:t>
      </w:r>
      <w:r>
        <w:rPr>
          <w:rFonts w:hint="eastAsia" w:ascii="仿宋_GB2312" w:hAnsi="仿宋_GB2312" w:eastAsia="仿宋_GB2312" w:cs="仿宋_GB2312"/>
          <w:spacing w:val="-6"/>
          <w:sz w:val="32"/>
          <w:szCs w:val="32"/>
        </w:rPr>
        <w:t>：坚持绿水青山就是金山银山理念，依托秦岭生态、区位、资源优势，全面融入国家/区域性GEP（生态系统生产总值）交易体系，培育发展生态资产和生态产品市场，探索构建西部生态产品交易媒介，构建深具洋县特色的可持续的生态产品价值实现路径，推动洋县绿水青山建得更美，金山银山做得更大，打造特色鲜明的西部生态产品价值实现机制示范区。</w:t>
      </w:r>
    </w:p>
    <w:p>
      <w:pPr>
        <w:spacing w:line="580" w:lineRule="exact"/>
        <w:ind w:firstLine="619"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——全国生态产品综合交易中心：</w:t>
      </w:r>
      <w:r>
        <w:rPr>
          <w:rFonts w:hint="eastAsia" w:ascii="仿宋_GB2312" w:hAnsi="仿宋_GB2312" w:eastAsia="仿宋_GB2312" w:cs="仿宋_GB2312"/>
          <w:spacing w:val="-6"/>
          <w:sz w:val="32"/>
          <w:szCs w:val="32"/>
        </w:rPr>
        <w:t>围绕国家和陕西</w:t>
      </w:r>
      <w:r>
        <w:rPr>
          <w:rFonts w:hint="eastAsia" w:ascii="仿宋_GB2312" w:hAnsi="仿宋_GB2312" w:eastAsia="仿宋_GB2312" w:cs="仿宋_GB2312"/>
          <w:spacing w:val="-6"/>
          <w:sz w:val="32"/>
          <w:szCs w:val="32"/>
          <w:lang w:eastAsia="zh-CN"/>
        </w:rPr>
        <w:t>省委、省政府</w:t>
      </w:r>
      <w:r>
        <w:rPr>
          <w:rFonts w:hint="eastAsia" w:ascii="仿宋_GB2312" w:hAnsi="仿宋_GB2312" w:eastAsia="仿宋_GB2312" w:cs="仿宋_GB2312"/>
          <w:spacing w:val="-6"/>
          <w:sz w:val="32"/>
          <w:szCs w:val="32"/>
        </w:rPr>
        <w:t>关于建立健全生态产品价值实现机制要求，坚持线上线下相结合、软件与硬件建设相结合，加快搭建生态产品线上交易门户网站，建设生态产品展览展示交易基地，积极探索农特产品向有机产品价值转换路径，加快打造立足秦岭，辐射全国的综合型生态产品交易中心。</w:t>
      </w:r>
    </w:p>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44" w:name="_Toc6835"/>
      <w:bookmarkStart w:id="45" w:name="_Toc133539457"/>
      <w:r>
        <w:rPr>
          <w:rFonts w:hint="eastAsia" w:ascii="楷体_GB2312" w:hAnsi="楷体_GB2312" w:eastAsia="楷体_GB2312" w:cs="楷体_GB2312"/>
          <w:b w:val="0"/>
          <w:spacing w:val="-6"/>
          <w:kern w:val="2"/>
          <w:sz w:val="32"/>
          <w:szCs w:val="32"/>
        </w:rPr>
        <w:t>（三）基本原则</w:t>
      </w:r>
      <w:bookmarkEnd w:id="44"/>
      <w:bookmarkEnd w:id="45"/>
    </w:p>
    <w:p>
      <w:pPr>
        <w:spacing w:line="580" w:lineRule="exact"/>
        <w:ind w:firstLine="619" w:firstLineChars="200"/>
        <w:rPr>
          <w:rFonts w:ascii="仿宋_GB2312" w:hAnsi="仿宋_GB2312" w:eastAsia="仿宋_GB2312" w:cs="仿宋_GB2312"/>
          <w:spacing w:val="-6"/>
          <w:sz w:val="32"/>
          <w:szCs w:val="32"/>
        </w:rPr>
      </w:pPr>
      <w:bookmarkStart w:id="46" w:name="_Hlk152075041"/>
      <w:r>
        <w:rPr>
          <w:rFonts w:hint="eastAsia" w:ascii="仿宋_GB2312" w:hAnsi="仿宋_GB2312" w:eastAsia="仿宋_GB2312" w:cs="仿宋_GB2312"/>
          <w:b/>
          <w:bCs/>
          <w:spacing w:val="-6"/>
          <w:sz w:val="32"/>
          <w:szCs w:val="32"/>
        </w:rPr>
        <w:t>保护优先，绿色发展。</w:t>
      </w:r>
      <w:r>
        <w:rPr>
          <w:rFonts w:hint="eastAsia" w:ascii="仿宋_GB2312" w:hAnsi="仿宋_GB2312" w:eastAsia="仿宋_GB2312" w:cs="仿宋_GB2312"/>
          <w:spacing w:val="-6"/>
          <w:sz w:val="32"/>
          <w:szCs w:val="32"/>
        </w:rPr>
        <w:t>生态本身就是经济，保护生态就是发展生产力。牢固树立和践行“绿水青山就是金山银山”理念，增强优质生态产品供给能力，在确保生态安全的前提下，大力推进“生产、生活、生态“三生融合，将生态价值、生态资产转化为经济价值、物质资本，使绿水青山持续发挥生态效益和经济社会效益。</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政府主导，社会参与。</w:t>
      </w:r>
      <w:r>
        <w:rPr>
          <w:rFonts w:hint="eastAsia" w:ascii="仿宋_GB2312" w:hAnsi="仿宋_GB2312" w:eastAsia="仿宋_GB2312" w:cs="仿宋_GB2312"/>
          <w:spacing w:val="-6"/>
          <w:sz w:val="32"/>
          <w:szCs w:val="32"/>
        </w:rPr>
        <w:t>发挥政府对生态产品价值实现的主导与监管作用，加强制度建设，创新体制机制。充分发挥市场对资源要素有效配置的基础作用，拓宽实现渠道，引导社会资本与公众积极参与生态产品价值实现。</w:t>
      </w:r>
    </w:p>
    <w:p>
      <w:pPr>
        <w:spacing w:line="580" w:lineRule="exact"/>
        <w:ind w:firstLine="57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改革引领，创新驱动。</w:t>
      </w:r>
      <w:r>
        <w:rPr>
          <w:rFonts w:hint="eastAsia" w:ascii="仿宋_GB2312" w:hAnsi="仿宋_GB2312" w:eastAsia="仿宋_GB2312" w:cs="仿宋_GB2312"/>
          <w:spacing w:val="-6"/>
          <w:sz w:val="32"/>
          <w:szCs w:val="32"/>
        </w:rPr>
        <w:t>以资源配置市场化和服务型政府建设为牵引，坚持“有为政府”和“有效市场”相统一，围绕生态价值转化，着力推进科技创新、路径创新、模式创新、产品创新，争创治理新优势，全面深化各领域改革，推动治理体系和治理能力现代化。</w:t>
      </w:r>
    </w:p>
    <w:p>
      <w:pPr>
        <w:spacing w:line="580" w:lineRule="exact"/>
        <w:ind w:firstLine="57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因地制宜，突出特色。</w:t>
      </w:r>
      <w:r>
        <w:rPr>
          <w:rFonts w:hint="eastAsia" w:ascii="仿宋_GB2312" w:hAnsi="仿宋_GB2312" w:eastAsia="仿宋_GB2312" w:cs="仿宋_GB2312"/>
          <w:spacing w:val="-6"/>
          <w:sz w:val="32"/>
          <w:szCs w:val="32"/>
        </w:rPr>
        <w:t>根据洋县的自然、社会、经济、文化条件和农林牧产业特色，扬长避短，有重点、有步骤地布局生态产品。全面规划，突出特色，以洋县特色有机产业为基础，充分挖掘休闲农业、康养农业、文化旅游等特色融合方向，扩展全县特色生态价值的深度和广度。</w:t>
      </w:r>
    </w:p>
    <w:bookmarkEnd w:id="46"/>
    <w:p>
      <w:pPr>
        <w:pStyle w:val="4"/>
        <w:spacing w:before="0" w:beforeAutospacing="0" w:after="0" w:afterAutospacing="0" w:line="580" w:lineRule="exact"/>
        <w:ind w:firstLine="616" w:firstLineChars="200"/>
        <w:rPr>
          <w:rFonts w:ascii="楷体_GB2312" w:hAnsi="楷体_GB2312" w:eastAsia="楷体_GB2312" w:cs="楷体_GB2312"/>
          <w:b w:val="0"/>
          <w:spacing w:val="-6"/>
          <w:kern w:val="2"/>
          <w:sz w:val="32"/>
          <w:szCs w:val="32"/>
        </w:rPr>
      </w:pPr>
      <w:bookmarkStart w:id="47" w:name="_Toc7432"/>
      <w:bookmarkStart w:id="48" w:name="_Toc133539458"/>
      <w:r>
        <w:rPr>
          <w:rFonts w:hint="eastAsia" w:ascii="楷体_GB2312" w:hAnsi="楷体_GB2312" w:eastAsia="楷体_GB2312" w:cs="楷体_GB2312"/>
          <w:b w:val="0"/>
          <w:spacing w:val="-6"/>
          <w:kern w:val="2"/>
          <w:sz w:val="32"/>
          <w:szCs w:val="32"/>
        </w:rPr>
        <w:t>（四）建设目标</w:t>
      </w:r>
      <w:bookmarkEnd w:id="47"/>
      <w:bookmarkEnd w:id="48"/>
    </w:p>
    <w:p>
      <w:pPr>
        <w:spacing w:line="580" w:lineRule="exact"/>
        <w:ind w:firstLine="560"/>
        <w:rPr>
          <w:rFonts w:ascii="仿宋_GB2312" w:hAnsi="仿宋_GB2312" w:eastAsia="仿宋_GB2312" w:cs="仿宋_GB2312"/>
          <w:spacing w:val="-6"/>
          <w:sz w:val="32"/>
          <w:szCs w:val="32"/>
        </w:rPr>
      </w:pPr>
      <w:bookmarkStart w:id="49" w:name="_Hlk152073940"/>
      <w:r>
        <w:rPr>
          <w:rFonts w:hint="eastAsia" w:ascii="仿宋_GB2312" w:hAnsi="仿宋_GB2312" w:eastAsia="仿宋_GB2312" w:cs="仿宋_GB2312"/>
          <w:spacing w:val="-6"/>
          <w:sz w:val="32"/>
          <w:szCs w:val="32"/>
        </w:rPr>
        <w:t>到2025年，我县生态经济综合实力显著提升，产业生态化和生态产业化为主体的现代化生态经济产业体系初步建立，全域生态环境保护持续加强，环境治理体系和治理能力现代化取得重大进展，</w:t>
      </w:r>
      <w:r>
        <w:rPr>
          <w:rFonts w:hint="eastAsia" w:ascii="仿宋_GB2312" w:hAnsi="仿宋_GB2312" w:eastAsia="仿宋_GB2312" w:cs="仿宋_GB2312"/>
          <w:b/>
          <w:spacing w:val="-6"/>
          <w:sz w:val="32"/>
          <w:szCs w:val="32"/>
        </w:rPr>
        <w:t>基本建成全国优质生态产品融合发展示范区、西部生态产品价值实现机制示范区和全国生态产品综合交易中心三大战略定位</w:t>
      </w:r>
      <w:r>
        <w:rPr>
          <w:rFonts w:hint="eastAsia" w:ascii="仿宋_GB2312" w:hAnsi="仿宋_GB2312" w:eastAsia="仿宋_GB2312" w:cs="仿宋_GB2312"/>
          <w:spacing w:val="-6"/>
          <w:sz w:val="32"/>
          <w:szCs w:val="32"/>
        </w:rPr>
        <w:t>。</w:t>
      </w:r>
    </w:p>
    <w:p>
      <w:p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b/>
          <w:sz w:val="32"/>
          <w:szCs w:val="32"/>
        </w:rPr>
        <w:t>产业生态化水平明显增强。</w:t>
      </w:r>
      <w:r>
        <w:rPr>
          <w:rFonts w:hint="eastAsia" w:ascii="仿宋_GB2312" w:hAnsi="仿宋_GB2312" w:eastAsia="仿宋_GB2312" w:cs="仿宋_GB2312"/>
          <w:sz w:val="32"/>
          <w:szCs w:val="32"/>
        </w:rPr>
        <w:t>以优质生态农产品为主要特色的现代农业蓬勃发展，一二三产融合更加紧密，生态工业、生态文旅业、生态康养业等生态产品价值初步实现特色发展产业路径，形成优势互补、高质量发展的生态经济格局，产业竞争力明显增强。</w:t>
      </w:r>
    </w:p>
    <w:bookmarkEnd w:id="49"/>
    <w:p>
      <w:pPr>
        <w:spacing w:line="580" w:lineRule="exact"/>
        <w:ind w:firstLine="560"/>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生态产业化能力持续释放。</w:t>
      </w:r>
      <w:r>
        <w:rPr>
          <w:rFonts w:hint="eastAsia" w:ascii="仿宋_GB2312" w:hAnsi="仿宋_GB2312" w:eastAsia="仿宋_GB2312" w:cs="仿宋_GB2312"/>
          <w:spacing w:val="-6"/>
          <w:sz w:val="32"/>
          <w:szCs w:val="32"/>
        </w:rPr>
        <w:t>生态空间的供给能力明显提高，生态服务和产品供给能力大幅增强，生态资源利用效率大幅提高，生态产业比重显著提升。</w:t>
      </w:r>
    </w:p>
    <w:p>
      <w:pPr>
        <w:spacing w:line="580" w:lineRule="exact"/>
        <w:ind w:firstLine="560"/>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生态资源保护与修复继续夯实</w:t>
      </w:r>
      <w:r>
        <w:rPr>
          <w:rFonts w:hint="eastAsia" w:ascii="仿宋_GB2312" w:hAnsi="仿宋_GB2312" w:eastAsia="仿宋_GB2312" w:cs="仿宋_GB2312"/>
          <w:spacing w:val="-6"/>
          <w:sz w:val="32"/>
          <w:szCs w:val="32"/>
        </w:rPr>
        <w:t>。森林、草地、河湖湿地等生态系统保护和修复能力持续加强，水源涵养、水土保持、生物多样性等生态功能持续提升，矿山建设与修复进一步提升，自然保护地建设体系更加完善，生态安全屏障更加牢固。</w:t>
      </w:r>
    </w:p>
    <w:p>
      <w:pPr>
        <w:spacing w:line="580" w:lineRule="exact"/>
        <w:ind w:firstLine="560"/>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制度体系和治理效能不断完善。</w:t>
      </w:r>
      <w:r>
        <w:rPr>
          <w:rFonts w:hint="eastAsia" w:ascii="仿宋_GB2312" w:hAnsi="仿宋_GB2312" w:eastAsia="仿宋_GB2312" w:cs="仿宋_GB2312"/>
          <w:spacing w:val="-6"/>
          <w:sz w:val="32"/>
          <w:szCs w:val="32"/>
        </w:rPr>
        <w:t>体制机制创新取得阶段性进展，出台一批高水平的生态经济制度创新成果。市场、政府、社会共建共治共享的生态经济治理体系更加健全。绿色金融、生态补偿、督查考核等机制逐步完善。</w:t>
      </w:r>
    </w:p>
    <w:p>
      <w:pPr>
        <w:spacing w:line="580" w:lineRule="exact"/>
        <w:rPr>
          <w:rFonts w:ascii="仿宋_GB2312" w:hAnsi="仿宋_GB2312" w:eastAsia="仿宋_GB2312" w:cs="仿宋_GB2312"/>
          <w:b/>
          <w:bCs/>
          <w:spacing w:val="-6"/>
          <w:sz w:val="32"/>
          <w:szCs w:val="32"/>
        </w:rPr>
        <w:sectPr>
          <w:headerReference r:id="rId21" w:type="default"/>
          <w:footerReference r:id="rId22" w:type="default"/>
          <w:pgSz w:w="11906" w:h="16838"/>
          <w:pgMar w:top="2041" w:right="1417" w:bottom="1928" w:left="1531" w:header="851" w:footer="397" w:gutter="0"/>
          <w:pgNumType w:fmt="numberInDash" w:start="21"/>
          <w:cols w:space="0" w:num="1"/>
          <w:docGrid w:type="lines" w:linePitch="312" w:charSpace="0"/>
        </w:sectPr>
      </w:pPr>
      <w:bookmarkStart w:id="50" w:name="_Hlk152073995"/>
      <w:r>
        <w:rPr>
          <w:rFonts w:hint="eastAsia" w:ascii="仿宋_GB2312" w:hAnsi="仿宋_GB2312" w:eastAsia="仿宋_GB2312" w:cs="仿宋_GB2312"/>
          <w:b/>
          <w:bCs/>
          <w:spacing w:val="-6"/>
          <w:sz w:val="32"/>
          <w:szCs w:val="32"/>
        </w:rPr>
        <w:br w:type="page"/>
      </w:r>
    </w:p>
    <w:p>
      <w:pPr>
        <w:spacing w:afterLines="50" w:line="580" w:lineRule="exact"/>
        <w:ind w:firstLine="561"/>
        <w:jc w:val="center"/>
        <w:rPr>
          <w:rFonts w:ascii="宋体" w:hAnsi="宋体" w:eastAsia="宋体" w:cs="宋体"/>
          <w:sz w:val="32"/>
          <w:szCs w:val="32"/>
        </w:rPr>
      </w:pPr>
      <w:r>
        <w:rPr>
          <w:rFonts w:hint="eastAsia" w:ascii="宋体" w:hAnsi="宋体" w:eastAsia="宋体" w:cs="宋体"/>
          <w:b/>
          <w:bCs/>
          <w:sz w:val="32"/>
          <w:szCs w:val="32"/>
        </w:rPr>
        <w:t xml:space="preserve">表1  </w:t>
      </w:r>
      <w:bookmarkStart w:id="51" w:name="_Hlk136962644"/>
      <w:r>
        <w:rPr>
          <w:rFonts w:hint="eastAsia" w:ascii="宋体" w:hAnsi="宋体" w:eastAsia="宋体" w:cs="宋体"/>
          <w:b/>
          <w:bCs/>
          <w:sz w:val="32"/>
          <w:szCs w:val="32"/>
        </w:rPr>
        <w:t>洋县国家级生态产品供应基地建设指标体系</w:t>
      </w:r>
      <w:bookmarkEnd w:id="51"/>
    </w:p>
    <w:tbl>
      <w:tblPr>
        <w:tblStyle w:val="19"/>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840"/>
        <w:gridCol w:w="2850"/>
        <w:gridCol w:w="855"/>
        <w:gridCol w:w="900"/>
        <w:gridCol w:w="885"/>
        <w:gridCol w:w="930"/>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2"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指标类别</w:t>
            </w:r>
          </w:p>
        </w:tc>
        <w:tc>
          <w:tcPr>
            <w:tcW w:w="840"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2850"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指标</w:t>
            </w:r>
          </w:p>
        </w:tc>
        <w:tc>
          <w:tcPr>
            <w:tcW w:w="855"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900"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2020年</w:t>
            </w:r>
          </w:p>
        </w:tc>
        <w:tc>
          <w:tcPr>
            <w:tcW w:w="885"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2025年</w:t>
            </w:r>
          </w:p>
        </w:tc>
        <w:tc>
          <w:tcPr>
            <w:tcW w:w="930"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2030年</w:t>
            </w:r>
          </w:p>
        </w:tc>
        <w:tc>
          <w:tcPr>
            <w:tcW w:w="5823" w:type="dxa"/>
            <w:vAlign w:val="center"/>
          </w:tcPr>
          <w:p>
            <w:pPr>
              <w:spacing w:line="240" w:lineRule="exact"/>
              <w:jc w:val="center"/>
              <w:rPr>
                <w:rFonts w:ascii="宋体" w:hAnsi="宋体" w:eastAsia="宋体" w:cs="宋体"/>
                <w:b/>
                <w:bCs/>
                <w:sz w:val="18"/>
                <w:szCs w:val="18"/>
              </w:rPr>
            </w:pPr>
            <w:r>
              <w:rPr>
                <w:rFonts w:hint="eastAsia" w:ascii="宋体" w:hAnsi="宋体" w:eastAsia="宋体" w:cs="宋体"/>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62" w:type="dxa"/>
            <w:vMerge w:val="restart"/>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产业</w:t>
            </w:r>
          </w:p>
          <w:p>
            <w:pPr>
              <w:spacing w:line="500" w:lineRule="exact"/>
              <w:jc w:val="center"/>
              <w:rPr>
                <w:rFonts w:ascii="宋体" w:hAnsi="宋体" w:eastAsia="宋体" w:cs="宋体"/>
                <w:sz w:val="28"/>
                <w:szCs w:val="28"/>
              </w:rPr>
            </w:pPr>
            <w:r>
              <w:rPr>
                <w:rFonts w:hint="eastAsia" w:ascii="宋体" w:hAnsi="宋体" w:eastAsia="宋体" w:cs="宋体"/>
                <w:sz w:val="28"/>
                <w:szCs w:val="28"/>
              </w:rPr>
              <w:t>生态化</w:t>
            </w: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生态产业产值</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包括有机产业、生态旅游、生态工业等经营性生态产品产业的生产总值，建立新核算体系后确定目标值。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有机产业总产值</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反映全县有机产业发展程度与规模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有机基地认证面积</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万亩</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17.58</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建设国家特色高质有机食品生产基地和促进有机产业发展的目标要求。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pacing w:val="-12"/>
                <w:sz w:val="18"/>
                <w:szCs w:val="18"/>
              </w:rPr>
              <w:t>有机产业园龙头企业</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家</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15</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反映有机产业载体的发展质量。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有机产业示范基地</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个</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建成10个有机产业基地示范镇，10个有机生产标杆示范基地。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有机产品深加工率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反映有机产品转化效率。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有机产品线上销售额占比</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2021年全国商品网上零售额占社会消费品零售总额的比重为24.5%。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中医药产业增加值</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5823" w:type="dxa"/>
            <w:vAlign w:val="center"/>
          </w:tcPr>
          <w:p>
            <w:pPr>
              <w:spacing w:line="240" w:lineRule="exact"/>
              <w:rPr>
                <w:rFonts w:ascii="宋体" w:hAnsi="宋体" w:eastAsia="宋体" w:cs="宋体"/>
                <w:spacing w:val="-8"/>
                <w:sz w:val="18"/>
                <w:szCs w:val="18"/>
              </w:rPr>
            </w:pPr>
            <w:r>
              <w:rPr>
                <w:rFonts w:hint="eastAsia" w:ascii="宋体" w:hAnsi="宋体" w:eastAsia="宋体" w:cs="宋体"/>
                <w:spacing w:val="-8"/>
                <w:sz w:val="18"/>
                <w:szCs w:val="18"/>
              </w:rPr>
              <w:t>通过秦巴中医药产业谷建设，力争将中医药产业打造成洋县经济的新增长点，设立此指标用以监测并促进产业发展。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旅游综合收入</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反映旅游产业的综合效益。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绿色工厂</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家</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反映工业绿色化、生态发展状况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11</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单位地区生产总值能耗降低</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洋县国民经济和社会发展第十四个五年规划纲要确定的目标值。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12</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主要农作物农药利用率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按照有机品牌的要求，做约束性指标。《“十四五”全国农业绿色发展规划》提出，2025年主要农作物农药利用率提高到43%。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13</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主要农作物化肥利用率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按照有机品牌的要求，做约束性指标。《“十四五”全国农业绿色发展规划》提出，2025年主要农作物化肥利用率提高到43%。</w:t>
            </w:r>
          </w:p>
        </w:tc>
      </w:tr>
    </w:tbl>
    <w:p>
      <w:pPr>
        <w:spacing w:line="240" w:lineRule="exact"/>
        <w:jc w:val="center"/>
        <w:rPr>
          <w:rFonts w:ascii="宋体" w:hAnsi="宋体" w:eastAsia="宋体" w:cs="宋体"/>
          <w:sz w:val="18"/>
          <w:szCs w:val="18"/>
        </w:rPr>
        <w:sectPr>
          <w:headerReference r:id="rId23" w:type="default"/>
          <w:footerReference r:id="rId24" w:type="default"/>
          <w:footerReference r:id="rId25" w:type="even"/>
          <w:pgSz w:w="16838" w:h="11906" w:orient="landscape"/>
          <w:pgMar w:top="1531" w:right="2041" w:bottom="1417" w:left="1928" w:header="851" w:footer="397" w:gutter="0"/>
          <w:pgNumType w:fmt="numberInDash" w:start="22"/>
          <w:cols w:space="0" w:num="1"/>
          <w:docGrid w:type="lines" w:linePitch="319" w:charSpace="0"/>
        </w:sectPr>
      </w:pPr>
    </w:p>
    <w:tbl>
      <w:tblPr>
        <w:tblStyle w:val="19"/>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840"/>
        <w:gridCol w:w="2850"/>
        <w:gridCol w:w="855"/>
        <w:gridCol w:w="900"/>
        <w:gridCol w:w="885"/>
        <w:gridCol w:w="930"/>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62"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生态产业化</w:t>
            </w: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14</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生态系统生产总值GEP</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反映县级行政区划生态价值转化的潜力，需要科学估算后确定目标值。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15</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森林年固碳量</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万吨</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92</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97</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根据课题组初步估算结果确定。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16</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森林年释氧量</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吨</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247</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254</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259</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根据课题组初步估算结果确定。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17</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商品林面积</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万亩</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147.29</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155</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18</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林业综合产值</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12.5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15</w:t>
            </w:r>
          </w:p>
        </w:tc>
        <w:tc>
          <w:tcPr>
            <w:tcW w:w="5823" w:type="dxa"/>
            <w:vAlign w:val="center"/>
          </w:tcPr>
          <w:p>
            <w:pPr>
              <w:spacing w:line="240" w:lineRule="exact"/>
              <w:rPr>
                <w:rFonts w:ascii="宋体" w:hAnsi="宋体" w:eastAsia="宋体" w:cs="宋体"/>
                <w:spacing w:val="-12"/>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19</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生态服务体验园</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个</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5823" w:type="dxa"/>
            <w:vAlign w:val="center"/>
          </w:tcPr>
          <w:p>
            <w:pPr>
              <w:spacing w:line="240" w:lineRule="exact"/>
              <w:rPr>
                <w:rFonts w:ascii="宋体" w:hAnsi="宋体" w:eastAsia="宋体" w:cs="宋体"/>
                <w:spacing w:val="-12"/>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绿色金融放贷额</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反映金融对生态产业化的支持力度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62"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生态保护</w:t>
            </w: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21</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森林覆盖率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68.6</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70.5</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5823" w:type="dxa"/>
            <w:vAlign w:val="center"/>
          </w:tcPr>
          <w:p>
            <w:pPr>
              <w:spacing w:line="240" w:lineRule="exact"/>
              <w:rPr>
                <w:rFonts w:ascii="宋体" w:hAnsi="宋体" w:eastAsia="宋体" w:cs="宋体"/>
                <w:spacing w:val="-12"/>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22</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森林保护面积占比</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23</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森林火灾受害率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≤0.2</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≤0.2</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森林病虫害受灾率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≤4.6</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≤4.6</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湿地保护率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pacing w:val="-12"/>
                <w:sz w:val="18"/>
                <w:szCs w:val="18"/>
              </w:rPr>
              <w:t>2025年为《洋县“十四五”林业生态建设发展规划》确定的发展目标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26</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汉江出境断面水质</w:t>
            </w:r>
          </w:p>
        </w:tc>
        <w:tc>
          <w:tcPr>
            <w:tcW w:w="855" w:type="dxa"/>
            <w:vAlign w:val="center"/>
          </w:tcPr>
          <w:p>
            <w:pPr>
              <w:spacing w:line="240" w:lineRule="exact"/>
              <w:jc w:val="center"/>
              <w:rPr>
                <w:rFonts w:ascii="宋体" w:hAnsi="宋体" w:eastAsia="宋体" w:cs="宋体"/>
                <w:sz w:val="18"/>
                <w:szCs w:val="18"/>
              </w:rPr>
            </w:pP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II类</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I类</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2025年为《洋县秦岭生态环境保护实施方案》确定的发展目标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27</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水功能区达到或好于Ⅲ类</w:t>
            </w:r>
          </w:p>
          <w:p>
            <w:pPr>
              <w:spacing w:line="240" w:lineRule="exact"/>
              <w:jc w:val="center"/>
              <w:rPr>
                <w:rFonts w:ascii="宋体" w:hAnsi="宋体" w:eastAsia="宋体" w:cs="宋体"/>
                <w:sz w:val="18"/>
                <w:szCs w:val="18"/>
              </w:rPr>
            </w:pPr>
            <w:r>
              <w:rPr>
                <w:rFonts w:hint="eastAsia" w:ascii="宋体" w:hAnsi="宋体" w:eastAsia="宋体" w:cs="宋体"/>
                <w:sz w:val="18"/>
                <w:szCs w:val="18"/>
              </w:rPr>
              <w:t>水体比例</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2025年为《洋县秦岭生态环境保护实施方案》确定的发展目标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28</w:t>
            </w:r>
          </w:p>
        </w:tc>
        <w:tc>
          <w:tcPr>
            <w:tcW w:w="2850" w:type="dxa"/>
            <w:vAlign w:val="center"/>
          </w:tcPr>
          <w:p>
            <w:pPr>
              <w:spacing w:line="240" w:lineRule="exact"/>
              <w:jc w:val="center"/>
              <w:rPr>
                <w:rFonts w:ascii="宋体" w:hAnsi="宋体" w:eastAsia="宋体" w:cs="宋体"/>
                <w:spacing w:val="-16"/>
                <w:sz w:val="18"/>
                <w:szCs w:val="18"/>
              </w:rPr>
            </w:pPr>
            <w:r>
              <w:rPr>
                <w:rFonts w:hint="eastAsia" w:ascii="宋体" w:hAnsi="宋体" w:eastAsia="宋体" w:cs="宋体"/>
                <w:spacing w:val="-16"/>
                <w:sz w:val="18"/>
                <w:szCs w:val="18"/>
              </w:rPr>
              <w:t>空气质量优良天数比例</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92</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98</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2025年为《洋县秦岭生态环境保护实施方案》确定的发展目标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29</w:t>
            </w:r>
          </w:p>
        </w:tc>
        <w:tc>
          <w:tcPr>
            <w:tcW w:w="2850" w:type="dxa"/>
            <w:vAlign w:val="center"/>
          </w:tcPr>
          <w:p>
            <w:pPr>
              <w:spacing w:line="240" w:lineRule="exact"/>
              <w:jc w:val="center"/>
              <w:rPr>
                <w:rFonts w:ascii="宋体" w:hAnsi="宋体" w:eastAsia="宋体" w:cs="宋体"/>
                <w:spacing w:val="-14"/>
                <w:sz w:val="18"/>
                <w:szCs w:val="18"/>
              </w:rPr>
            </w:pPr>
            <w:r>
              <w:rPr>
                <w:rFonts w:hint="eastAsia" w:ascii="宋体" w:hAnsi="宋体" w:eastAsia="宋体" w:cs="宋体"/>
                <w:spacing w:val="-14"/>
                <w:sz w:val="18"/>
                <w:szCs w:val="18"/>
              </w:rPr>
              <w:t>国家重点保护物种和典型生态系统类型保护率</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2025年为《洋县秦岭生态环境保护实施方案》确定的发展目标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2"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社会支持</w:t>
            </w:r>
          </w:p>
          <w:p>
            <w:pPr>
              <w:spacing w:line="240" w:lineRule="exact"/>
              <w:jc w:val="center"/>
              <w:rPr>
                <w:rFonts w:ascii="宋体" w:hAnsi="宋体" w:eastAsia="宋体" w:cs="宋体"/>
                <w:sz w:val="18"/>
                <w:szCs w:val="18"/>
              </w:rPr>
            </w:pPr>
            <w:r>
              <w:rPr>
                <w:rFonts w:hint="eastAsia" w:ascii="宋体" w:hAnsi="宋体" w:eastAsia="宋体" w:cs="宋体"/>
                <w:sz w:val="18"/>
                <w:szCs w:val="18"/>
              </w:rPr>
              <w:t>力度</w:t>
            </w: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政府绿色采购比例</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95</w:t>
            </w:r>
          </w:p>
        </w:tc>
        <w:tc>
          <w:tcPr>
            <w:tcW w:w="5823" w:type="dxa"/>
            <w:vAlign w:val="center"/>
          </w:tcPr>
          <w:p>
            <w:pPr>
              <w:spacing w:line="240" w:lineRule="exact"/>
              <w:rPr>
                <w:rFonts w:ascii="宋体" w:hAnsi="宋体" w:eastAsia="宋体" w:cs="宋体"/>
                <w:spacing w:val="-14"/>
                <w:sz w:val="18"/>
                <w:szCs w:val="18"/>
              </w:rPr>
            </w:pPr>
            <w:r>
              <w:rPr>
                <w:rFonts w:hint="eastAsia" w:ascii="宋体" w:hAnsi="宋体" w:eastAsia="宋体" w:cs="宋体"/>
                <w:sz w:val="18"/>
                <w:szCs w:val="18"/>
              </w:rPr>
              <w:t>政府对社会生态环境建设的采购支出，汉中市创建省级生态文明建设示范市要求政府绿色采购比例达到80%以上。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31</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财政支持生态产品供应基地建设支出</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亿元</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财政对生态产品基地建设提供的政策资金支持。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62" w:type="dxa"/>
            <w:vMerge w:val="continue"/>
            <w:vAlign w:val="center"/>
          </w:tcPr>
          <w:p>
            <w:pPr>
              <w:spacing w:line="240" w:lineRule="exact"/>
              <w:jc w:val="center"/>
              <w:rPr>
                <w:rFonts w:ascii="宋体" w:hAnsi="宋体" w:eastAsia="宋体" w:cs="宋体"/>
                <w:sz w:val="18"/>
                <w:szCs w:val="18"/>
              </w:rPr>
            </w:pPr>
          </w:p>
        </w:tc>
        <w:tc>
          <w:tcPr>
            <w:tcW w:w="84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32</w:t>
            </w:r>
          </w:p>
        </w:tc>
        <w:tc>
          <w:tcPr>
            <w:tcW w:w="285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公众对生态产品供给基地知晓度</w:t>
            </w:r>
          </w:p>
        </w:tc>
        <w:tc>
          <w:tcPr>
            <w:tcW w:w="85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90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8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80</w:t>
            </w:r>
          </w:p>
        </w:tc>
        <w:tc>
          <w:tcPr>
            <w:tcW w:w="930"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95</w:t>
            </w:r>
          </w:p>
        </w:tc>
        <w:tc>
          <w:tcPr>
            <w:tcW w:w="5823"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反映公众对生态产品供给基地建设的支持状况。</w:t>
            </w:r>
          </w:p>
        </w:tc>
      </w:tr>
      <w:bookmarkEnd w:id="50"/>
    </w:tbl>
    <w:p>
      <w:pPr>
        <w:pStyle w:val="3"/>
        <w:spacing w:before="0" w:after="0" w:line="40" w:lineRule="exact"/>
        <w:rPr>
          <w:rFonts w:ascii="黑体" w:hAnsi="黑体" w:eastAsia="黑体" w:cs="黑体"/>
          <w:b w:val="0"/>
          <w:bCs w:val="0"/>
          <w:sz w:val="32"/>
          <w:szCs w:val="32"/>
        </w:rPr>
        <w:sectPr>
          <w:headerReference r:id="rId26" w:type="default"/>
          <w:footerReference r:id="rId27" w:type="default"/>
          <w:pgSz w:w="16838" w:h="11906" w:orient="landscape"/>
          <w:pgMar w:top="1531" w:right="2041" w:bottom="1417" w:left="1928" w:header="851" w:footer="397" w:gutter="0"/>
          <w:pgNumType w:fmt="numberInDash"/>
          <w:cols w:space="0" w:num="1"/>
          <w:docGrid w:type="lines" w:linePitch="319" w:charSpace="0"/>
        </w:sectPr>
      </w:pPr>
      <w:bookmarkStart w:id="52" w:name="_Toc133539459"/>
      <w:bookmarkStart w:id="53" w:name="_Hlk90548518"/>
    </w:p>
    <w:p>
      <w:pPr>
        <w:pStyle w:val="3"/>
        <w:spacing w:before="0" w:after="0" w:line="580" w:lineRule="exact"/>
        <w:ind w:firstLine="616" w:firstLineChars="200"/>
        <w:rPr>
          <w:rFonts w:ascii="黑体" w:hAnsi="黑体" w:eastAsia="黑体" w:cs="黑体"/>
          <w:b w:val="0"/>
          <w:bCs w:val="0"/>
          <w:spacing w:val="-6"/>
          <w:sz w:val="32"/>
          <w:szCs w:val="32"/>
        </w:rPr>
      </w:pPr>
      <w:bookmarkStart w:id="54" w:name="_Toc75"/>
      <w:r>
        <w:rPr>
          <w:rFonts w:hint="eastAsia" w:ascii="黑体" w:hAnsi="黑体" w:eastAsia="黑体" w:cs="黑体"/>
          <w:b w:val="0"/>
          <w:bCs w:val="0"/>
          <w:spacing w:val="-6"/>
          <w:sz w:val="32"/>
          <w:szCs w:val="32"/>
        </w:rPr>
        <w:t>三、空间布局</w:t>
      </w:r>
      <w:bookmarkEnd w:id="52"/>
      <w:bookmarkEnd w:id="54"/>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55" w:name="_Toc751"/>
      <w:bookmarkStart w:id="56" w:name="_Toc133539460"/>
      <w:r>
        <w:rPr>
          <w:rFonts w:hint="eastAsia" w:ascii="楷体_GB2312" w:hAnsi="楷体_GB2312" w:eastAsia="楷体_GB2312" w:cs="楷体_GB2312"/>
          <w:b w:val="0"/>
          <w:spacing w:val="-6"/>
          <w:sz w:val="32"/>
          <w:szCs w:val="32"/>
        </w:rPr>
        <w:t>（一）空间结构</w:t>
      </w:r>
      <w:bookmarkEnd w:id="55"/>
      <w:bookmarkEnd w:id="56"/>
    </w:p>
    <w:p>
      <w:pPr>
        <w:spacing w:line="580" w:lineRule="exact"/>
        <w:ind w:firstLine="616" w:firstLineChars="200"/>
        <w:rPr>
          <w:rFonts w:ascii="仿宋_GB2312" w:hAnsi="仿宋_GB2312" w:eastAsia="仿宋_GB2312" w:cs="仿宋_GB2312"/>
          <w:spacing w:val="-6"/>
          <w:sz w:val="32"/>
          <w:szCs w:val="32"/>
        </w:rPr>
      </w:pPr>
      <w:bookmarkStart w:id="57" w:name="_Hlk141893266"/>
      <w:bookmarkStart w:id="58" w:name="_Hlk136962695"/>
      <w:r>
        <w:rPr>
          <w:rFonts w:hint="eastAsia" w:ascii="仿宋_GB2312" w:hAnsi="仿宋_GB2312" w:eastAsia="仿宋_GB2312" w:cs="仿宋_GB2312"/>
          <w:spacing w:val="-6"/>
          <w:sz w:val="32"/>
          <w:szCs w:val="32"/>
        </w:rPr>
        <w:t>根据国家级生态产品基地建设总体定位，综合考虑洋县自然地理状况、生态建设与环境保护需求、产业与城乡分布格局，同时结合洋县过渡期国土空间规划方案，按照</w:t>
      </w:r>
      <w:r>
        <w:rPr>
          <w:rFonts w:hint="eastAsia" w:ascii="仿宋_GB2312" w:hAnsi="仿宋_GB2312" w:eastAsia="仿宋_GB2312" w:cs="仿宋_GB2312"/>
          <w:b/>
          <w:spacing w:val="-6"/>
          <w:sz w:val="32"/>
          <w:szCs w:val="32"/>
        </w:rPr>
        <w:t>“分区引导、廊带支撑”</w:t>
      </w:r>
      <w:r>
        <w:rPr>
          <w:rFonts w:hint="eastAsia" w:ascii="仿宋_GB2312" w:hAnsi="仿宋_GB2312" w:eastAsia="仿宋_GB2312" w:cs="仿宋_GB2312"/>
          <w:spacing w:val="-6"/>
          <w:sz w:val="32"/>
          <w:szCs w:val="32"/>
        </w:rPr>
        <w:t>空间发展思路，着力构筑</w:t>
      </w:r>
      <w:r>
        <w:rPr>
          <w:rFonts w:hint="eastAsia" w:ascii="仿宋_GB2312" w:hAnsi="仿宋_GB2312" w:eastAsia="仿宋_GB2312" w:cs="仿宋_GB2312"/>
          <w:b/>
          <w:spacing w:val="-6"/>
          <w:sz w:val="32"/>
          <w:szCs w:val="32"/>
        </w:rPr>
        <w:t>“一带两廊三区</w:t>
      </w:r>
      <w:r>
        <w:rPr>
          <w:rFonts w:hint="eastAsia" w:ascii="仿宋_GB2312" w:hAnsi="仿宋_GB2312" w:eastAsia="仿宋_GB2312" w:cs="仿宋_GB2312"/>
          <w:spacing w:val="-6"/>
          <w:sz w:val="32"/>
          <w:szCs w:val="32"/>
        </w:rPr>
        <w:t>”空间结构，支撑生态产品供给基地建设。</w:t>
      </w:r>
      <w:bookmarkEnd w:id="57"/>
    </w:p>
    <w:bookmarkEnd w:id="58"/>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一带为绿色产业带</w:t>
      </w:r>
      <w:r>
        <w:rPr>
          <w:rFonts w:hint="eastAsia" w:ascii="仿宋_GB2312" w:hAnsi="仿宋_GB2312" w:eastAsia="仿宋_GB2312" w:cs="仿宋_GB2312"/>
          <w:spacing w:val="-6"/>
          <w:sz w:val="32"/>
          <w:szCs w:val="32"/>
        </w:rPr>
        <w:t>。以西成高铁、西汉高速、G108国道等东西向交通轴线为依托，内联洋县中心城区、马畅、谢村、戚氏、金水、龙亭、磨子桥、黄金峡及桑溪等主要城镇和产业空间，外接西安、成都两大都市圈，为加快推进产业生态化、建设生态产品供给基地提供空间支撑。</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两廊</w:t>
      </w:r>
      <w:r>
        <w:rPr>
          <w:rFonts w:hint="eastAsia" w:ascii="仿宋_GB2312" w:hAnsi="仿宋_GB2312" w:eastAsia="仿宋_GB2312" w:cs="仿宋_GB2312"/>
          <w:spacing w:val="-6"/>
          <w:sz w:val="32"/>
          <w:szCs w:val="32"/>
        </w:rPr>
        <w:t>分别为</w:t>
      </w:r>
      <w:r>
        <w:rPr>
          <w:rFonts w:hint="eastAsia" w:ascii="仿宋_GB2312" w:hAnsi="仿宋_GB2312" w:eastAsia="仿宋_GB2312" w:cs="仿宋_GB2312"/>
          <w:b/>
          <w:bCs/>
          <w:spacing w:val="-6"/>
          <w:sz w:val="32"/>
          <w:szCs w:val="32"/>
        </w:rPr>
        <w:t>南北向生态廊道</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b/>
          <w:bCs/>
          <w:spacing w:val="-6"/>
          <w:sz w:val="32"/>
          <w:szCs w:val="32"/>
        </w:rPr>
        <w:t>沿汉江生态经济廊道</w:t>
      </w:r>
      <w:r>
        <w:rPr>
          <w:rFonts w:hint="eastAsia" w:ascii="仿宋_GB2312" w:hAnsi="仿宋_GB2312" w:eastAsia="仿宋_GB2312" w:cs="仿宋_GB2312"/>
          <w:spacing w:val="-6"/>
          <w:sz w:val="32"/>
          <w:szCs w:val="32"/>
        </w:rPr>
        <w:t>。南北向生态廊道以S218省道为依托，以华阳镇、华阳景区等为主要承载空间，以八里关镇为联系节点，充分利用沿线丰富的自然资源、旅游资源，强化生态空间营造，打造绿色生态廊道；沿汉江生态经济廊道以汉江河道及汉江南岸沿江公路为依托，以朱鹮自然湿地保护区域、黄金峡旅游区等为主要承载空间，强化沿岸生态环境治理与河道水系管护，兴建滨水公共服务设施和娱乐休闲设施，全面启动金水大峡谷景区、金水银滩度假区建设，加快打造“生景、生财”的滨水型生态经济廊道。</w:t>
      </w:r>
    </w:p>
    <w:p>
      <w:pPr>
        <w:spacing w:line="580" w:lineRule="exact"/>
        <w:ind w:firstLine="619" w:firstLineChars="200"/>
        <w:rPr>
          <w:rFonts w:ascii="仿宋_GB2312" w:hAnsi="仿宋_GB2312" w:eastAsia="仿宋_GB2312" w:cs="仿宋_GB2312"/>
          <w:b/>
          <w:bCs/>
          <w:spacing w:val="-6"/>
          <w:sz w:val="32"/>
          <w:szCs w:val="32"/>
        </w:rPr>
        <w:sectPr>
          <w:headerReference r:id="rId28" w:type="default"/>
          <w:footerReference r:id="rId29" w:type="default"/>
          <w:footerReference r:id="rId30" w:type="even"/>
          <w:pgSz w:w="11906" w:h="16838"/>
          <w:pgMar w:top="2041" w:right="1417" w:bottom="1928" w:left="1531" w:header="851" w:footer="397" w:gutter="0"/>
          <w:pgNumType w:fmt="numberInDash" w:start="24"/>
          <w:cols w:space="0" w:num="1"/>
          <w:docGrid w:type="lines" w:linePitch="319" w:charSpace="0"/>
        </w:sectPr>
      </w:pPr>
      <w:r>
        <w:rPr>
          <w:rFonts w:hint="eastAsia" w:ascii="仿宋_GB2312" w:hAnsi="仿宋_GB2312" w:eastAsia="仿宋_GB2312" w:cs="仿宋_GB2312"/>
          <w:b/>
          <w:bCs/>
          <w:spacing w:val="-6"/>
          <w:sz w:val="32"/>
          <w:szCs w:val="32"/>
        </w:rPr>
        <w:t>三区</w:t>
      </w:r>
      <w:r>
        <w:rPr>
          <w:rFonts w:hint="eastAsia" w:ascii="仿宋_GB2312" w:hAnsi="仿宋_GB2312" w:eastAsia="仿宋_GB2312" w:cs="仿宋_GB2312"/>
          <w:spacing w:val="-6"/>
          <w:sz w:val="32"/>
          <w:szCs w:val="32"/>
        </w:rPr>
        <w:t>分别为</w:t>
      </w:r>
      <w:r>
        <w:rPr>
          <w:rFonts w:hint="eastAsia" w:ascii="仿宋_GB2312" w:hAnsi="仿宋_GB2312" w:eastAsia="仿宋_GB2312" w:cs="仿宋_GB2312"/>
          <w:b/>
          <w:bCs/>
          <w:spacing w:val="-6"/>
          <w:sz w:val="32"/>
          <w:szCs w:val="32"/>
        </w:rPr>
        <w:t>公共生态产品建设样板区、</w:t>
      </w:r>
      <w:bookmarkStart w:id="59" w:name="_Hlk90941351"/>
      <w:r>
        <w:rPr>
          <w:rFonts w:hint="eastAsia" w:ascii="仿宋_GB2312" w:hAnsi="仿宋_GB2312" w:eastAsia="仿宋_GB2312" w:cs="仿宋_GB2312"/>
          <w:b/>
          <w:bCs/>
          <w:spacing w:val="-6"/>
          <w:sz w:val="32"/>
          <w:szCs w:val="32"/>
        </w:rPr>
        <w:t>产业生态化建设示范</w:t>
      </w:r>
    </w:p>
    <w:p>
      <w:pPr>
        <w:spacing w:line="580" w:lineRule="exact"/>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区</w:t>
      </w:r>
      <w:bookmarkEnd w:id="59"/>
      <w:r>
        <w:rPr>
          <w:rFonts w:hint="eastAsia" w:ascii="仿宋_GB2312" w:hAnsi="仿宋_GB2312" w:eastAsia="仿宋_GB2312" w:cs="仿宋_GB2312"/>
          <w:b/>
          <w:bCs/>
          <w:spacing w:val="-6"/>
          <w:sz w:val="32"/>
          <w:szCs w:val="32"/>
        </w:rPr>
        <w:t>和</w:t>
      </w:r>
      <w:bookmarkStart w:id="60" w:name="_Hlk90945353"/>
      <w:r>
        <w:rPr>
          <w:rFonts w:hint="eastAsia" w:ascii="仿宋_GB2312" w:hAnsi="仿宋_GB2312" w:eastAsia="仿宋_GB2312" w:cs="仿宋_GB2312"/>
          <w:b/>
          <w:bCs/>
          <w:spacing w:val="-6"/>
          <w:sz w:val="32"/>
          <w:szCs w:val="32"/>
        </w:rPr>
        <w:t>生态产品价值实现培育区</w:t>
      </w:r>
      <w:bookmarkEnd w:id="60"/>
      <w:r>
        <w:rPr>
          <w:rFonts w:hint="eastAsia" w:ascii="仿宋_GB2312" w:hAnsi="仿宋_GB2312" w:eastAsia="仿宋_GB2312" w:cs="仿宋_GB2312"/>
          <w:spacing w:val="-6"/>
          <w:sz w:val="32"/>
          <w:szCs w:val="32"/>
        </w:rPr>
        <w:t>。公共生态产品建设样板区位于秦岭保护区核心区，主要包括</w:t>
      </w:r>
      <w:bookmarkStart w:id="61" w:name="_Hlk103462245"/>
      <w:r>
        <w:rPr>
          <w:rFonts w:hint="eastAsia" w:ascii="仿宋_GB2312" w:hAnsi="仿宋_GB2312" w:eastAsia="仿宋_GB2312" w:cs="仿宋_GB2312"/>
          <w:spacing w:val="-6"/>
          <w:sz w:val="32"/>
          <w:szCs w:val="32"/>
        </w:rPr>
        <w:t>华阳镇、茅坪镇、八里关镇、关帝镇、溢水镇</w:t>
      </w:r>
      <w:bookmarkEnd w:id="61"/>
      <w:r>
        <w:rPr>
          <w:rFonts w:hint="eastAsia" w:ascii="仿宋_GB2312" w:hAnsi="仿宋_GB2312" w:eastAsia="仿宋_GB2312" w:cs="仿宋_GB2312"/>
          <w:spacing w:val="-6"/>
          <w:sz w:val="32"/>
          <w:szCs w:val="32"/>
        </w:rPr>
        <w:t>；产业生态化建设示范区位于中部汉江平坝及低山丘陵地区，</w:t>
      </w:r>
      <w:r>
        <w:rPr>
          <w:rFonts w:hint="eastAsia" w:ascii="仿宋_GB2312" w:hAnsi="仿宋_GB2312" w:eastAsia="仿宋_GB2312" w:cs="仿宋_GB2312"/>
          <w:color w:val="000000" w:themeColor="text1"/>
          <w:spacing w:val="-6"/>
          <w:sz w:val="32"/>
          <w:szCs w:val="32"/>
        </w:rPr>
        <w:t>主要包括磨子桥镇、马畅镇、龙亭镇、谢村镇、黄安镇以及洋州街道、纸坊街道、戚氏街道。</w:t>
      </w:r>
      <w:r>
        <w:rPr>
          <w:rFonts w:hint="eastAsia" w:ascii="仿宋_GB2312" w:hAnsi="仿宋_GB2312" w:eastAsia="仿宋_GB2312" w:cs="仿宋_GB2312"/>
          <w:spacing w:val="-6"/>
          <w:sz w:val="32"/>
          <w:szCs w:val="32"/>
        </w:rPr>
        <w:t>生态产品价值实现培育区位于巴山丘陵区以及秦岭山脉延伸余脉与巴山斜落山丘交汇地带，主要包括槐树关镇、金水镇、桑溪镇、黄金峡镇、黄家营镇。</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62" w:name="_Toc29741"/>
      <w:bookmarkStart w:id="63" w:name="_Toc133539461"/>
      <w:r>
        <w:rPr>
          <w:rFonts w:hint="eastAsia" w:ascii="楷体_GB2312" w:hAnsi="楷体_GB2312" w:eastAsia="楷体_GB2312" w:cs="楷体_GB2312"/>
          <w:b w:val="0"/>
          <w:spacing w:val="-6"/>
          <w:sz w:val="32"/>
          <w:szCs w:val="32"/>
        </w:rPr>
        <w:t>（二）功能分区</w:t>
      </w:r>
      <w:bookmarkEnd w:id="62"/>
      <w:bookmarkEnd w:id="63"/>
    </w:p>
    <w:p>
      <w:pPr>
        <w:spacing w:line="580"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1.公共生态产品建设样板区</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秦岭保护区核心区的保护要求，以提供更加优质的空气、水等公共生态产品为目标，着重加强水土保持、水源涵养及生物多样性保护，积极发展生态旅游、有机中药材种植、有机蔬菜种植产业，适度发展土鸡、中蜂等有机畜禽养殖业，打造秦岭地区生态产业化发展的样板区。</w:t>
      </w:r>
    </w:p>
    <w:p>
      <w:pPr>
        <w:spacing w:line="580"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2.产业生态化建设示范区</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县域生态环境优势和现有产业发展基础，充分发挥区位优越、产业立地条件较好等多重优势，优先发展有机产业，促进产业全链条延伸拓展；提升发展现代材料业，促进产业绿色化、高端化发展；大力发展文化旅游、康养服务、电子商务等新业态，积极发展电子信息等环境敏感型产业，</w:t>
      </w:r>
      <w:r>
        <w:rPr>
          <w:rFonts w:hint="eastAsia" w:ascii="仿宋_GB2312" w:hAnsi="仿宋_GB2312" w:eastAsia="仿宋_GB2312" w:cs="仿宋_GB2312"/>
          <w:spacing w:val="-6"/>
          <w:sz w:val="32"/>
          <w:szCs w:val="32"/>
          <w:shd w:val="clear" w:color="auto" w:fill="FFFFFF"/>
        </w:rPr>
        <w:t>通过生态赋能、科技赋能、文化赋能加快构建现代产业体系，打造</w:t>
      </w:r>
      <w:r>
        <w:rPr>
          <w:rFonts w:hint="eastAsia" w:ascii="仿宋_GB2312" w:hAnsi="仿宋_GB2312" w:eastAsia="仿宋_GB2312" w:cs="仿宋_GB2312"/>
          <w:spacing w:val="-6"/>
          <w:sz w:val="32"/>
          <w:szCs w:val="32"/>
        </w:rPr>
        <w:t>产业生态化发展的示范基地。</w:t>
      </w:r>
    </w:p>
    <w:p>
      <w:pPr>
        <w:spacing w:line="580" w:lineRule="exact"/>
        <w:ind w:firstLine="619" w:firstLineChars="200"/>
        <w:rPr>
          <w:rFonts w:ascii="仿宋_GB2312" w:hAnsi="仿宋_GB2312" w:eastAsia="仿宋_GB2312" w:cs="仿宋_GB2312"/>
          <w:b/>
          <w:bCs/>
          <w:spacing w:val="-6"/>
          <w:sz w:val="32"/>
          <w:szCs w:val="32"/>
        </w:rPr>
        <w:sectPr>
          <w:headerReference r:id="rId31" w:type="default"/>
          <w:footerReference r:id="rId32" w:type="default"/>
          <w:footerReference r:id="rId33" w:type="even"/>
          <w:pgSz w:w="11906" w:h="16838"/>
          <w:pgMar w:top="2041" w:right="1417" w:bottom="1928" w:left="1531" w:header="851" w:footer="397" w:gutter="0"/>
          <w:pgNumType w:fmt="numberInDash"/>
          <w:cols w:space="0" w:num="1"/>
          <w:docGrid w:type="lines" w:linePitch="319" w:charSpace="0"/>
        </w:sectPr>
      </w:pPr>
    </w:p>
    <w:p>
      <w:pPr>
        <w:spacing w:line="580"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3.生态产品价值实现培育区</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探索乡村生态产品价值多重实现机制为导向，重点发展中药材、果蔬等有机种植业，鼓励发展乡村旅游；积极培育钒钛磁铁矿全产业链，支持企业发展“飞地经济”等协作载体，拓宽和升级产业生态化发展新路径；积极开展“两山生态资源运营管理公司”建设试点，推行公益林收益权质押贷款模式；深入推进河道资源管理改革和农村宅基地“三权分置”改革试点工作；推动钒钛磁铁矿建设国家绿色矿山，探索开展生态保护修复的产权激励机制试点，吸引社会资本参与生态保护和修复。</w:t>
      </w:r>
    </w:p>
    <w:p>
      <w:pPr>
        <w:pStyle w:val="3"/>
        <w:spacing w:before="0" w:after="0" w:line="580" w:lineRule="exact"/>
        <w:ind w:firstLine="616" w:firstLineChars="200"/>
        <w:rPr>
          <w:rFonts w:ascii="黑体" w:hAnsi="黑体" w:eastAsia="黑体" w:cs="黑体"/>
          <w:b w:val="0"/>
          <w:bCs w:val="0"/>
          <w:spacing w:val="-6"/>
          <w:sz w:val="32"/>
          <w:szCs w:val="32"/>
        </w:rPr>
      </w:pPr>
      <w:bookmarkStart w:id="64" w:name="_Toc31140"/>
      <w:bookmarkStart w:id="65" w:name="_Toc133539462"/>
      <w:r>
        <w:rPr>
          <w:rFonts w:hint="eastAsia" w:ascii="黑体" w:hAnsi="黑体" w:eastAsia="黑体" w:cs="黑体"/>
          <w:b w:val="0"/>
          <w:bCs w:val="0"/>
          <w:spacing w:val="-6"/>
          <w:sz w:val="32"/>
          <w:szCs w:val="32"/>
        </w:rPr>
        <w:t>四、</w:t>
      </w:r>
      <w:bookmarkStart w:id="66" w:name="_Hlk136962851"/>
      <w:r>
        <w:rPr>
          <w:rFonts w:hint="eastAsia" w:ascii="黑体" w:hAnsi="黑体" w:eastAsia="黑体" w:cs="黑体"/>
          <w:b w:val="0"/>
          <w:bCs w:val="0"/>
          <w:spacing w:val="-6"/>
          <w:sz w:val="32"/>
          <w:szCs w:val="32"/>
        </w:rPr>
        <w:t>高标准夯实公共生态产品供给能力</w:t>
      </w:r>
      <w:bookmarkEnd w:id="64"/>
      <w:bookmarkEnd w:id="65"/>
      <w:bookmarkEnd w:id="66"/>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立足洋县生态环境优势，以提升以</w:t>
      </w:r>
      <w:bookmarkStart w:id="67" w:name="_Hlk136962913"/>
      <w:r>
        <w:rPr>
          <w:rFonts w:hint="eastAsia" w:ascii="仿宋_GB2312" w:hAnsi="仿宋_GB2312" w:eastAsia="仿宋_GB2312" w:cs="仿宋_GB2312"/>
          <w:spacing w:val="-6"/>
          <w:sz w:val="32"/>
          <w:szCs w:val="32"/>
        </w:rPr>
        <w:t>空气、水、土壤为主的公共性生态产品供给能力为导向</w:t>
      </w:r>
      <w:bookmarkEnd w:id="67"/>
      <w:r>
        <w:rPr>
          <w:rFonts w:hint="eastAsia" w:ascii="仿宋_GB2312" w:hAnsi="仿宋_GB2312" w:eastAsia="仿宋_GB2312" w:cs="仿宋_GB2312"/>
          <w:spacing w:val="-6"/>
          <w:sz w:val="32"/>
          <w:szCs w:val="32"/>
        </w:rPr>
        <w:t>，持续提升植被固碳释氧能力，持续提升洋县森林质量和景观水平，全面增强保水、增水、净水等核心生态功能，守住自然生态安全边界，涵养生态财富、提升生态价值、打响生态品牌，为生态经济发展筑牢绿色之基。</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68" w:name="_Toc133539463"/>
      <w:bookmarkStart w:id="69" w:name="_Toc20372"/>
      <w:r>
        <w:rPr>
          <w:rFonts w:hint="eastAsia" w:ascii="楷体_GB2312" w:hAnsi="楷体_GB2312" w:eastAsia="楷体_GB2312" w:cs="楷体_GB2312"/>
          <w:b w:val="0"/>
          <w:spacing w:val="-6"/>
          <w:sz w:val="32"/>
          <w:szCs w:val="32"/>
        </w:rPr>
        <w:t>（一）</w:t>
      </w:r>
      <w:bookmarkStart w:id="70" w:name="_Hlk103462948"/>
      <w:r>
        <w:rPr>
          <w:rFonts w:hint="eastAsia" w:ascii="楷体_GB2312" w:hAnsi="楷体_GB2312" w:eastAsia="楷体_GB2312" w:cs="楷体_GB2312"/>
          <w:b w:val="0"/>
          <w:spacing w:val="-6"/>
          <w:sz w:val="32"/>
          <w:szCs w:val="32"/>
        </w:rPr>
        <w:t>植被固碳量释氧量递增工程</w:t>
      </w:r>
      <w:bookmarkEnd w:id="68"/>
      <w:bookmarkEnd w:id="69"/>
      <w:bookmarkEnd w:id="70"/>
      <w:r>
        <w:rPr>
          <w:rFonts w:hint="eastAsia" w:ascii="楷体_GB2312" w:hAnsi="楷体_GB2312" w:eastAsia="楷体_GB2312" w:cs="楷体_GB2312"/>
          <w:b w:val="0"/>
          <w:spacing w:val="-6"/>
          <w:sz w:val="32"/>
          <w:szCs w:val="32"/>
        </w:rPr>
        <w:t xml:space="preserve"> </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80" w:lineRule="exact"/>
        <w:ind w:firstLine="600"/>
        <w:rPr>
          <w:rFonts w:ascii="仿宋_GB2312" w:hAnsi="仿宋_GB2312" w:eastAsia="仿宋_GB2312" w:cs="仿宋_GB2312"/>
          <w:spacing w:val="-6"/>
          <w:sz w:val="32"/>
          <w:szCs w:val="32"/>
        </w:rPr>
      </w:pPr>
      <w:bookmarkStart w:id="71" w:name="_Hlk152075787"/>
      <w:r>
        <w:rPr>
          <w:rFonts w:hint="eastAsia" w:ascii="仿宋_GB2312" w:hAnsi="仿宋_GB2312" w:eastAsia="仿宋_GB2312" w:cs="仿宋_GB2312"/>
          <w:spacing w:val="-6"/>
          <w:sz w:val="32"/>
          <w:szCs w:val="32"/>
        </w:rPr>
        <w:t>围绕碳达峰碳中和要求，以增强森林固碳量释氧量为主攻方向，坚持因地制宜、分类施策、量质并重原则，全面保育天然林、科学经营人工林、复壮更新灌木林，持续强化森林经营提高森林固碳能力，科学造林增加森林碳储量，精准提升森林质量，持续增强固碳释氧能力。</w:t>
      </w:r>
    </w:p>
    <w:bookmarkEnd w:id="71"/>
    <w:p>
      <w:pPr>
        <w:keepNext/>
        <w:keepLines/>
        <w:spacing w:line="580" w:lineRule="exact"/>
        <w:ind w:firstLine="619" w:firstLineChars="200"/>
        <w:outlineLvl w:val="2"/>
        <w:rPr>
          <w:rFonts w:ascii="仿宋_GB2312" w:hAnsi="仿宋_GB2312" w:eastAsia="仿宋_GB2312" w:cs="仿宋_GB2312"/>
          <w:b/>
          <w:bCs/>
          <w:spacing w:val="-6"/>
          <w:sz w:val="32"/>
          <w:szCs w:val="32"/>
        </w:rPr>
        <w:sectPr>
          <w:headerReference r:id="rId34" w:type="default"/>
          <w:pgSz w:w="11906" w:h="16838"/>
          <w:pgMar w:top="2041" w:right="1417" w:bottom="1928" w:left="1531" w:header="851" w:footer="397" w:gutter="0"/>
          <w:pgNumType w:fmt="numberInDash"/>
          <w:cols w:space="0" w:num="1"/>
          <w:docGrid w:type="lines" w:linePitch="319" w:charSpace="0"/>
        </w:sectPr>
      </w:pP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持续提高森林固碳能力。</w:t>
      </w:r>
      <w:bookmarkStart w:id="72" w:name="_Hlk152076017"/>
      <w:r>
        <w:rPr>
          <w:rFonts w:hint="eastAsia" w:ascii="仿宋_GB2312" w:hAnsi="仿宋_GB2312" w:eastAsia="仿宋_GB2312" w:cs="仿宋_GB2312"/>
          <w:spacing w:val="-6"/>
          <w:sz w:val="32"/>
          <w:szCs w:val="32"/>
        </w:rPr>
        <w:t>加强天然林保护修复，合理确定天然林保护重点区域，建立完善全面保护、系统恢复、用途管控、权责明确的天然林保护修复制度，促进天然林森林质量提升。推进天然林与公益林并轨管理，全面完成国家生态公益林和省级生态公益林落界，严格落实公益林保护管理责任，提升保护管理水平。</w:t>
      </w:r>
      <w:bookmarkEnd w:id="72"/>
      <w:r>
        <w:rPr>
          <w:rFonts w:hint="eastAsia" w:ascii="仿宋_GB2312" w:hAnsi="仿宋_GB2312" w:eastAsia="仿宋_GB2312" w:cs="仿宋_GB2312"/>
          <w:spacing w:val="-6"/>
          <w:sz w:val="32"/>
          <w:szCs w:val="32"/>
        </w:rPr>
        <w:t>贯彻落实《陕西省国家储备林建设规划（2019—2035年）》，</w:t>
      </w:r>
      <w:bookmarkStart w:id="73" w:name="_Hlk152076233"/>
      <w:r>
        <w:rPr>
          <w:rFonts w:hint="eastAsia" w:ascii="仿宋_GB2312" w:hAnsi="仿宋_GB2312" w:eastAsia="仿宋_GB2312" w:cs="仿宋_GB2312"/>
          <w:spacing w:val="-6"/>
          <w:sz w:val="32"/>
          <w:szCs w:val="32"/>
        </w:rPr>
        <w:t>积极推进国家储备林基地建设，</w:t>
      </w:r>
      <w:bookmarkEnd w:id="73"/>
      <w:r>
        <w:rPr>
          <w:rFonts w:hint="eastAsia" w:ascii="仿宋_GB2312" w:hAnsi="仿宋_GB2312" w:eastAsia="仿宋_GB2312" w:cs="仿宋_GB2312"/>
          <w:spacing w:val="-6"/>
          <w:sz w:val="32"/>
          <w:szCs w:val="32"/>
        </w:rPr>
        <w:t>加快引进项目公司，优先选择《国家储备林树种目录（2019 年版）》中的树种，通过人工林集约栽培、现有林改培、抚育及补植补造等措施，重点发展杉木、松树、柏树、银杏、厚朴等珍稀树种和大径级用材林。强化大径材（大径级林木）资源培育，重点依托国有林场，带动林业合作社、家庭林场等建设主体，选择相对集中连片、交通条件便利、立地条件较好、林分条件适宜的区域，采用现有林提质培育、改造培育及造林培育等方式，培育优质大径材资源。</w:t>
      </w:r>
    </w:p>
    <w:p>
      <w:pPr>
        <w:spacing w:line="580" w:lineRule="exact"/>
        <w:ind w:firstLine="600"/>
        <w:rPr>
          <w:rFonts w:ascii="仿宋_GB2312" w:hAnsi="仿宋_GB2312" w:eastAsia="仿宋_GB2312" w:cs="仿宋_GB2312"/>
          <w:spacing w:val="-6"/>
          <w:sz w:val="32"/>
          <w:szCs w:val="32"/>
        </w:rPr>
        <w:sectPr>
          <w:headerReference r:id="rId35" w:type="default"/>
          <w:pgSz w:w="11906" w:h="16838"/>
          <w:pgMar w:top="2041" w:right="1417" w:bottom="1928" w:left="1531" w:header="851" w:footer="397" w:gutter="0"/>
          <w:pgNumType w:fmt="numberInDash"/>
          <w:cols w:space="0" w:num="1"/>
          <w:docGrid w:type="lines" w:linePitch="319" w:charSpace="0"/>
        </w:sectPr>
      </w:pPr>
      <w:r>
        <w:rPr>
          <w:rFonts w:hint="eastAsia" w:ascii="仿宋_GB2312" w:hAnsi="仿宋_GB2312" w:eastAsia="仿宋_GB2312" w:cs="仿宋_GB2312"/>
          <w:b/>
          <w:bCs/>
          <w:spacing w:val="-6"/>
          <w:sz w:val="32"/>
          <w:szCs w:val="32"/>
        </w:rPr>
        <w:t>科学造林增加森林碳储量。</w:t>
      </w:r>
      <w:bookmarkStart w:id="74" w:name="_Hlk102936461"/>
      <w:r>
        <w:rPr>
          <w:rFonts w:hint="eastAsia" w:ascii="仿宋_GB2312" w:hAnsi="仿宋_GB2312" w:eastAsia="仿宋_GB2312" w:cs="仿宋_GB2312"/>
          <w:spacing w:val="-6"/>
          <w:sz w:val="32"/>
          <w:szCs w:val="32"/>
        </w:rPr>
        <w:t>深入</w:t>
      </w:r>
      <w:bookmarkStart w:id="75" w:name="_Hlk152076312"/>
      <w:r>
        <w:rPr>
          <w:rFonts w:hint="eastAsia" w:ascii="仿宋_GB2312" w:hAnsi="仿宋_GB2312" w:eastAsia="仿宋_GB2312" w:cs="仿宋_GB2312"/>
          <w:spacing w:val="-6"/>
          <w:sz w:val="32"/>
          <w:szCs w:val="32"/>
        </w:rPr>
        <w:t>开展天保公益林建设、新一轮退耕还林、长防林工程、洋州绿色屏障工程</w:t>
      </w:r>
      <w:bookmarkEnd w:id="74"/>
      <w:bookmarkEnd w:id="75"/>
      <w:r>
        <w:rPr>
          <w:rFonts w:hint="eastAsia" w:ascii="仿宋_GB2312" w:hAnsi="仿宋_GB2312" w:eastAsia="仿宋_GB2312" w:cs="仿宋_GB2312"/>
          <w:spacing w:val="-6"/>
          <w:sz w:val="32"/>
          <w:szCs w:val="32"/>
        </w:rPr>
        <w:t>，合理采取造林、低效林改造等精准措施，科学造林，持续扩大森林覆盖率。以国家“南水北调”、陕西“引汉济渭”工程饮用水水源保护区、县城供水水源地范围内的疏残林、果树林等为修复对象，采取新造、改造的方式，培育多树种混交的近自然林，加快建设高质量水源林。继续推进国省道、高速公路、铁路和县乡公路以及汉江等生</w:t>
      </w:r>
    </w:p>
    <w:p>
      <w:pPr>
        <w:overflowPunct w:val="0"/>
        <w:spacing w:line="58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态廊道林带建设，对生长不良、经营状况较差及宽度与密度不够的林带进行加宽加密。营造高质量防火林带，以田林交界、入山道路两旁、林缘山脚、村庄周围林地为重点，选用抗火能力强的树种，科学配植组合成林带，形成相对闭合的生物防火林网。开展低效林高质量改造，优化树种组成，补植乡土阔叶建群树种，逐步形成以乡土阔叶树种为主的混交林，增强森林生态系统的碳储量和释氧量。</w:t>
      </w:r>
    </w:p>
    <w:p>
      <w:pPr>
        <w:overflowPunct w:val="0"/>
        <w:spacing w:line="580" w:lineRule="exact"/>
        <w:ind w:firstLine="600"/>
        <w:rPr>
          <w:rFonts w:ascii="仿宋_GB2312" w:hAnsi="仿宋_GB2312" w:eastAsia="仿宋_GB2312" w:cs="仿宋_GB2312"/>
          <w:spacing w:val="-6"/>
          <w:sz w:val="32"/>
          <w:szCs w:val="32"/>
        </w:rPr>
      </w:pPr>
      <w:bookmarkStart w:id="76" w:name="_Hlk152076651"/>
      <w:r>
        <w:rPr>
          <w:rFonts w:hint="eastAsia" w:ascii="仿宋_GB2312" w:hAnsi="仿宋_GB2312" w:eastAsia="仿宋_GB2312" w:cs="仿宋_GB2312"/>
          <w:b/>
          <w:bCs/>
          <w:spacing w:val="-6"/>
          <w:sz w:val="32"/>
          <w:szCs w:val="32"/>
        </w:rPr>
        <w:t>深化城乡绿化工程</w:t>
      </w:r>
      <w:bookmarkEnd w:id="76"/>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坚持宜林则林、宜草则草，统筹开展城乡绿化工作，综合采取破硬复绿、见缝插绿、立体造绿、留白增绿等措施，扩大公园广场、附属绿地等草本为主的绿地面积，加快单行林带补植为单侧双行林带，提升洋县旧城、产业融合发展新区、有机产业园及乡镇城镇建成区、村庄的绿地覆盖率，推进城乡绿色生态空间连点成线、串线成面，助力全域提升植被固碳释氧供给能力水平。</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森林生态服务功能和优质生态产品供给能力提升，森林固碳能力不断提高，释氧量持续增加。</w:t>
      </w:r>
      <w:bookmarkStart w:id="77" w:name="_Hlk152076755"/>
      <w:r>
        <w:rPr>
          <w:rFonts w:hint="eastAsia" w:ascii="仿宋_GB2312" w:hAnsi="仿宋_GB2312" w:eastAsia="仿宋_GB2312" w:cs="仿宋_GB2312"/>
          <w:spacing w:val="-6"/>
          <w:sz w:val="32"/>
          <w:szCs w:val="32"/>
        </w:rPr>
        <w:t>到2025年，全县森林覆盖率达到70%以上，国家重点公益林面积稳定在128.1万亩，建设碳汇林1万亩，全县森林系统吸收二氧化碳95万吨以上，释放氧气254万吨以上。</w:t>
      </w:r>
    </w:p>
    <w:bookmarkEnd w:id="77"/>
    <w:p>
      <w:pPr>
        <w:pStyle w:val="4"/>
        <w:widowControl w:val="0"/>
        <w:overflowPunct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78" w:name="_Toc1271"/>
      <w:bookmarkStart w:id="79" w:name="_Toc133539464"/>
      <w:r>
        <w:rPr>
          <w:rFonts w:hint="eastAsia" w:ascii="楷体_GB2312" w:hAnsi="楷体_GB2312" w:eastAsia="楷体_GB2312" w:cs="楷体_GB2312"/>
          <w:b w:val="0"/>
          <w:spacing w:val="-6"/>
          <w:sz w:val="32"/>
          <w:szCs w:val="32"/>
        </w:rPr>
        <w:t>（二）</w:t>
      </w:r>
      <w:bookmarkStart w:id="80" w:name="_Hlk103462271"/>
      <w:r>
        <w:rPr>
          <w:rFonts w:hint="eastAsia" w:ascii="楷体_GB2312" w:hAnsi="楷体_GB2312" w:eastAsia="楷体_GB2312" w:cs="楷体_GB2312"/>
          <w:b w:val="0"/>
          <w:spacing w:val="-6"/>
          <w:sz w:val="32"/>
          <w:szCs w:val="32"/>
        </w:rPr>
        <w:t>森林“含金量”提升工程</w:t>
      </w:r>
      <w:bookmarkEnd w:id="78"/>
      <w:bookmarkEnd w:id="79"/>
      <w:bookmarkEnd w:id="80"/>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overflowPunct w:val="0"/>
        <w:spacing w:line="580" w:lineRule="exact"/>
        <w:ind w:firstLine="600"/>
        <w:rPr>
          <w:rFonts w:ascii="仿宋_GB2312" w:hAnsi="仿宋_GB2312" w:eastAsia="仿宋_GB2312" w:cs="仿宋_GB2312"/>
          <w:spacing w:val="-6"/>
          <w:sz w:val="32"/>
          <w:szCs w:val="32"/>
        </w:rPr>
      </w:pPr>
      <w:bookmarkStart w:id="81" w:name="_Hlk152077021"/>
      <w:r>
        <w:rPr>
          <w:rFonts w:hint="eastAsia" w:ascii="仿宋_GB2312" w:hAnsi="仿宋_GB2312" w:eastAsia="仿宋_GB2312" w:cs="仿宋_GB2312"/>
          <w:spacing w:val="-6"/>
          <w:sz w:val="32"/>
          <w:szCs w:val="32"/>
        </w:rPr>
        <w:t>以提升洋县森林质量和景观水平为目标，坚持增绿与增收并重、造林与造景并举、绿化与美化同步，大力发展珍贵树种，强化森林经营，突出森林抚育，增强森林生态服务和景观功能，加快打造“结构优、景观美、功能强、价值高”的珍贵彩色森林。</w:t>
      </w:r>
    </w:p>
    <w:bookmarkEnd w:id="81"/>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大力发展珍贵森林。</w:t>
      </w:r>
      <w:r>
        <w:rPr>
          <w:rFonts w:hint="eastAsia" w:ascii="仿宋_GB2312" w:hAnsi="仿宋_GB2312" w:eastAsia="仿宋_GB2312" w:cs="仿宋_GB2312"/>
          <w:spacing w:val="-6"/>
          <w:sz w:val="32"/>
          <w:szCs w:val="32"/>
        </w:rPr>
        <w:t>以国有林场、</w:t>
      </w:r>
      <w:bookmarkStart w:id="82" w:name="_Hlk103464060"/>
      <w:r>
        <w:rPr>
          <w:rFonts w:hint="eastAsia" w:ascii="仿宋_GB2312" w:hAnsi="仿宋_GB2312" w:eastAsia="仿宋_GB2312" w:cs="仿宋_GB2312"/>
          <w:spacing w:val="-6"/>
          <w:sz w:val="32"/>
          <w:szCs w:val="32"/>
        </w:rPr>
        <w:t>林业合作社和林业大户</w:t>
      </w:r>
      <w:bookmarkEnd w:id="82"/>
      <w:r>
        <w:rPr>
          <w:rFonts w:hint="eastAsia" w:ascii="仿宋_GB2312" w:hAnsi="仿宋_GB2312" w:eastAsia="仿宋_GB2312" w:cs="仿宋_GB2312"/>
          <w:spacing w:val="-6"/>
          <w:sz w:val="32"/>
          <w:szCs w:val="32"/>
        </w:rPr>
        <w:t>等为主体，选择立地条件较好的采伐迹地、火烧迹地、病虫害迹地、</w:t>
      </w:r>
      <w:r>
        <w:rPr>
          <w:rFonts w:hint="eastAsia" w:ascii="仿宋_GB2312" w:hAnsi="仿宋_GB2312" w:eastAsia="仿宋_GB2312" w:cs="仿宋_GB2312"/>
          <w:spacing w:val="-6"/>
          <w:sz w:val="32"/>
          <w:szCs w:val="32"/>
          <w:lang w:eastAsia="zh-CN"/>
        </w:rPr>
        <w:t>撂荒</w:t>
      </w:r>
      <w:r>
        <w:rPr>
          <w:rFonts w:hint="eastAsia" w:ascii="仿宋_GB2312" w:hAnsi="仿宋_GB2312" w:eastAsia="仿宋_GB2312" w:cs="仿宋_GB2312"/>
          <w:spacing w:val="-6"/>
          <w:sz w:val="32"/>
          <w:szCs w:val="32"/>
        </w:rPr>
        <w:t>地等加快建设珍贵树种基地，大力发展栓皮栎、桦木、漆树、榉树、椴树等具有药用、园林、生态、用材价值的珍稀树种。结合国土绿化工程，以平坝地区为重点，在城市公园、城镇周边、通道两侧绿化和防护林、农田林网等建设中，大力推广应用适生珍贵树种。鼓励和引导民众在宅旁、村旁、路旁和水旁等“四旁”空闲地块、滩荒地等栽植珍贵树种。支持酉水河、傥河、桃溪河等汉江支流等重要水系流域源头种植涵养水源能力强珍贵树种，加大红豆杉等珍稀濒危植物生长地的保护力度。</w:t>
      </w:r>
      <w:bookmarkStart w:id="83" w:name="_Hlk152077063"/>
      <w:r>
        <w:rPr>
          <w:rFonts w:hint="eastAsia" w:ascii="仿宋_GB2312" w:hAnsi="仿宋_GB2312" w:eastAsia="仿宋_GB2312" w:cs="仿宋_GB2312"/>
          <w:spacing w:val="-6"/>
          <w:sz w:val="32"/>
          <w:szCs w:val="32"/>
        </w:rPr>
        <w:t>深化古树名木保护工程，不断完善古树名木“一树一策”、专人定株保护机制，组织开展古树公园修建试点工作。</w:t>
      </w:r>
      <w:bookmarkEnd w:id="83"/>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积极推进</w:t>
      </w:r>
      <w:bookmarkStart w:id="84" w:name="_Hlk102936518"/>
      <w:r>
        <w:rPr>
          <w:rFonts w:hint="eastAsia" w:ascii="仿宋_GB2312" w:hAnsi="仿宋_GB2312" w:eastAsia="仿宋_GB2312" w:cs="仿宋_GB2312"/>
          <w:b/>
          <w:bCs/>
          <w:spacing w:val="-6"/>
          <w:sz w:val="32"/>
          <w:szCs w:val="32"/>
        </w:rPr>
        <w:t>彩色森林</w:t>
      </w:r>
      <w:bookmarkEnd w:id="84"/>
      <w:r>
        <w:rPr>
          <w:rFonts w:hint="eastAsia" w:ascii="仿宋_GB2312" w:hAnsi="仿宋_GB2312" w:eastAsia="仿宋_GB2312" w:cs="仿宋_GB2312"/>
          <w:b/>
          <w:bCs/>
          <w:spacing w:val="-6"/>
          <w:sz w:val="32"/>
          <w:szCs w:val="32"/>
        </w:rPr>
        <w:t>建设。</w:t>
      </w:r>
      <w:r>
        <w:rPr>
          <w:rFonts w:hint="eastAsia" w:ascii="仿宋_GB2312" w:hAnsi="仿宋_GB2312" w:eastAsia="仿宋_GB2312" w:cs="仿宋_GB2312"/>
          <w:spacing w:val="-6"/>
          <w:sz w:val="32"/>
          <w:szCs w:val="32"/>
        </w:rPr>
        <w:t>遵循景观生态学“斑块、廊道、基质”的基本原理，以提高森林景观效果为主要目的，</w:t>
      </w:r>
      <w:bookmarkStart w:id="85" w:name="_Hlk152077368"/>
      <w:r>
        <w:rPr>
          <w:rFonts w:hint="eastAsia" w:ascii="仿宋_GB2312" w:hAnsi="仿宋_GB2312" w:eastAsia="仿宋_GB2312" w:cs="仿宋_GB2312"/>
          <w:spacing w:val="-6"/>
          <w:sz w:val="32"/>
          <w:szCs w:val="32"/>
        </w:rPr>
        <w:t>编制实施洋县彩色森林建设规划，</w:t>
      </w:r>
      <w:bookmarkEnd w:id="85"/>
      <w:r>
        <w:rPr>
          <w:rFonts w:hint="eastAsia" w:ascii="仿宋_GB2312" w:hAnsi="仿宋_GB2312" w:eastAsia="仿宋_GB2312" w:cs="仿宋_GB2312"/>
          <w:spacing w:val="-6"/>
          <w:sz w:val="32"/>
          <w:szCs w:val="32"/>
        </w:rPr>
        <w:t>重点将彩色森林布局于人类活动频繁、景观要求较高的交通干线两侧以及城镇、景区周边等区域，加快构建以城镇、景区、林场等为“斑块”，以“高速铁路、高速公路、国省干道、干线河道两侧”为“廊道”的彩色森林系统。围绕“一城两中心、一带四引擎”旅游产业结构布局，</w:t>
      </w:r>
      <w:bookmarkStart w:id="86" w:name="_Hlk152077387"/>
      <w:r>
        <w:rPr>
          <w:rFonts w:hint="eastAsia" w:ascii="仿宋_GB2312" w:hAnsi="仿宋_GB2312" w:eastAsia="仿宋_GB2312" w:cs="仿宋_GB2312"/>
          <w:spacing w:val="-6"/>
          <w:sz w:val="32"/>
          <w:szCs w:val="32"/>
        </w:rPr>
        <w:t>实施“美丽林相”塑造计划，</w:t>
      </w:r>
      <w:bookmarkEnd w:id="86"/>
      <w:r>
        <w:rPr>
          <w:rFonts w:hint="eastAsia" w:ascii="仿宋_GB2312" w:hAnsi="仿宋_GB2312" w:eastAsia="仿宋_GB2312" w:cs="仿宋_GB2312"/>
          <w:spacing w:val="-6"/>
          <w:sz w:val="32"/>
          <w:szCs w:val="32"/>
        </w:rPr>
        <w:t>综合采取抽针补阔、补植造林、疏伐改造、间伐抚育等措施，</w:t>
      </w:r>
      <w:bookmarkStart w:id="87" w:name="_Hlk152077404"/>
      <w:r>
        <w:rPr>
          <w:rFonts w:hint="eastAsia" w:ascii="仿宋_GB2312" w:hAnsi="仿宋_GB2312" w:eastAsia="仿宋_GB2312" w:cs="仿宋_GB2312"/>
          <w:spacing w:val="-6"/>
          <w:sz w:val="32"/>
          <w:szCs w:val="32"/>
        </w:rPr>
        <w:t>组织开展S218、S103、G5等交通型干道及游赏型道路沿路沿线彩色森林改造提升项目，提高彩色树种、花灌木比例，丰富物种与群落层次，形成具有特色主题的景观大道。</w:t>
      </w:r>
    </w:p>
    <w:bookmarkEnd w:id="87"/>
    <w:p>
      <w:pPr>
        <w:spacing w:line="580" w:lineRule="exact"/>
        <w:ind w:firstLine="600"/>
        <w:rPr>
          <w:rFonts w:ascii="仿宋_GB2312" w:hAnsi="仿宋_GB2312" w:eastAsia="仿宋_GB2312" w:cs="仿宋_GB2312"/>
          <w:spacing w:val="-6"/>
          <w:sz w:val="32"/>
          <w:szCs w:val="32"/>
        </w:rPr>
      </w:pPr>
      <w:bookmarkStart w:id="88" w:name="_Hlk152077441"/>
      <w:r>
        <w:rPr>
          <w:rFonts w:hint="eastAsia" w:ascii="仿宋_GB2312" w:hAnsi="仿宋_GB2312" w:eastAsia="仿宋_GB2312" w:cs="仿宋_GB2312"/>
          <w:b/>
          <w:bCs/>
          <w:spacing w:val="-6"/>
          <w:sz w:val="32"/>
          <w:szCs w:val="32"/>
        </w:rPr>
        <w:t>实施重点区域彩色森林改造计划。</w:t>
      </w:r>
      <w:r>
        <w:rPr>
          <w:rFonts w:hint="eastAsia" w:ascii="仿宋_GB2312" w:hAnsi="仿宋_GB2312" w:eastAsia="仿宋_GB2312" w:cs="仿宋_GB2312"/>
          <w:spacing w:val="-6"/>
          <w:sz w:val="32"/>
          <w:szCs w:val="32"/>
        </w:rPr>
        <w:t>对洋县县城、朱鹮梨园景区、金沙湖景区、黄金峡等重点区域周边可视范围内的大型生态斑块的林相景观进行提升改造，</w:t>
      </w:r>
      <w:bookmarkEnd w:id="88"/>
      <w:r>
        <w:rPr>
          <w:rFonts w:hint="eastAsia" w:ascii="仿宋_GB2312" w:hAnsi="仿宋_GB2312" w:eastAsia="仿宋_GB2312" w:cs="仿宋_GB2312"/>
          <w:spacing w:val="-6"/>
          <w:sz w:val="32"/>
          <w:szCs w:val="32"/>
        </w:rPr>
        <w:t>综合采取“造、补、改、育”等森林彩化建设措施，优化树种组成，重点加入能体现一年四季变化的优良彩色阔叶树种，改善森林结构，着力打造多样性明显丰富、四季景象富于变化的森林景观，提升城市和景区“颜值”。结合乡村振兴战略实施，按照“贴山、近河、轻干预”的原则，</w:t>
      </w:r>
      <w:bookmarkStart w:id="89" w:name="_Hlk152077479"/>
      <w:r>
        <w:rPr>
          <w:rFonts w:hint="eastAsia" w:ascii="仿宋_GB2312" w:hAnsi="仿宋_GB2312" w:eastAsia="仿宋_GB2312" w:cs="仿宋_GB2312"/>
          <w:spacing w:val="-6"/>
          <w:sz w:val="32"/>
          <w:szCs w:val="32"/>
        </w:rPr>
        <w:t>开展全域乡村森林试点项目，鼓励引导开展坡耕地景观化改造</w:t>
      </w:r>
      <w:bookmarkEnd w:id="89"/>
      <w:r>
        <w:rPr>
          <w:rFonts w:hint="eastAsia" w:ascii="仿宋_GB2312" w:hAnsi="仿宋_GB2312" w:eastAsia="仿宋_GB2312" w:cs="仿宋_GB2312"/>
          <w:spacing w:val="-6"/>
          <w:sz w:val="32"/>
          <w:szCs w:val="32"/>
        </w:rPr>
        <w:t>，重点对乡村旅游发展较好的华阳镇、黄金峡镇等实施集中连片坡地彩色景观林点缀改造工程，间植、点植先花后叶、繁花色叶类的阔叶树种，增设休憩驿站、休闲座椅、避雨廊道等园林小品，提升林地观赏性，助力乡村休闲农业发展。</w:t>
      </w:r>
    </w:p>
    <w:p>
      <w:pPr>
        <w:spacing w:line="580" w:lineRule="exact"/>
        <w:ind w:firstLine="600"/>
        <w:rPr>
          <w:rFonts w:ascii="仿宋_GB2312" w:hAnsi="仿宋_GB2312" w:eastAsia="仿宋_GB2312" w:cs="仿宋_GB2312"/>
          <w:spacing w:val="-6"/>
          <w:sz w:val="32"/>
          <w:szCs w:val="32"/>
        </w:rPr>
      </w:pPr>
      <w:bookmarkStart w:id="90" w:name="_Hlk152077496"/>
      <w:r>
        <w:rPr>
          <w:rFonts w:hint="eastAsia" w:ascii="仿宋_GB2312" w:hAnsi="仿宋_GB2312" w:eastAsia="仿宋_GB2312" w:cs="仿宋_GB2312"/>
          <w:b/>
          <w:bCs/>
          <w:spacing w:val="-6"/>
          <w:sz w:val="32"/>
          <w:szCs w:val="32"/>
        </w:rPr>
        <w:t>提升发展农田经济果木林。</w:t>
      </w:r>
      <w:r>
        <w:rPr>
          <w:rFonts w:hint="eastAsia" w:ascii="仿宋_GB2312" w:hAnsi="仿宋_GB2312" w:eastAsia="仿宋_GB2312" w:cs="仿宋_GB2312"/>
          <w:spacing w:val="-6"/>
          <w:sz w:val="32"/>
          <w:szCs w:val="32"/>
        </w:rPr>
        <w:t>结合乡村振兴战略实施，积极推广使用省级优良种苗，大力发展经济价值高、生态效益好的农田经济果木林，实现“绿起来”与“富起来”融合发展。</w:t>
      </w:r>
      <w:bookmarkEnd w:id="90"/>
      <w:r>
        <w:rPr>
          <w:rFonts w:hint="eastAsia" w:ascii="仿宋_GB2312" w:hAnsi="仿宋_GB2312" w:eastAsia="仿宋_GB2312" w:cs="仿宋_GB2312"/>
          <w:spacing w:val="-6"/>
          <w:sz w:val="32"/>
          <w:szCs w:val="32"/>
        </w:rPr>
        <w:t>以标准化栽培、良种化改造、集约化经营为手段，实施核桃、花椒低产园改造项目，全面落实高接换优、集水灌溉、配方施肥、烟雾防霜等关键管理措施，对核桃、花椒、板栗、柿子特色经济林基地进行提质增效，加快槐树关镇、马畅镇、龙亭镇等现有经济林基地转型升级。推进模式整合、培育示范、产品加工等技术转化推广，扶持银杏采叶林、油用牡丹、香橼等特色苗木花卉种植基地提品质、创品牌。统筹林果种植和乡村旅游发展，扩大有机黄金梨、猕猴桃、黄桃等优质水果种植面积，积极引进爱媛38号、春见等深受市场追捧柑橘新品种，联动组织采摘节等节庆活动。引导国有林场利用林区保护空间、农民利用承包的林地，发展以林药、林菌、林禽、林畜、林蜂等为主的林下种植养殖，培育一批省级和国家级林下经济示范基地。</w:t>
      </w:r>
    </w:p>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县域森林生态功能明显增强，森林景观多样性明显丰富，视域重要节点森林景观得到显著提升。</w:t>
      </w:r>
      <w:bookmarkStart w:id="91" w:name="_Hlk152077583"/>
      <w:r>
        <w:rPr>
          <w:rFonts w:hint="eastAsia" w:ascii="仿宋_GB2312" w:hAnsi="仿宋_GB2312" w:eastAsia="仿宋_GB2312" w:cs="仿宋_GB2312"/>
          <w:spacing w:val="-6"/>
          <w:sz w:val="32"/>
          <w:szCs w:val="32"/>
        </w:rPr>
        <w:t>到2025年，新植珍贵树种100万株以上，建设彩色森林2万亩，商品林面积超过147万亩。</w:t>
      </w:r>
    </w:p>
    <w:bookmarkEnd w:id="91"/>
    <w:p>
      <w:pPr>
        <w:pStyle w:val="4"/>
        <w:widowControl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92" w:name="_Toc133539465"/>
      <w:bookmarkStart w:id="93" w:name="_Toc16553"/>
      <w:r>
        <w:rPr>
          <w:rFonts w:hint="eastAsia" w:ascii="楷体_GB2312" w:hAnsi="楷体_GB2312" w:eastAsia="楷体_GB2312" w:cs="楷体_GB2312"/>
          <w:b w:val="0"/>
          <w:spacing w:val="-6"/>
          <w:sz w:val="32"/>
          <w:szCs w:val="32"/>
        </w:rPr>
        <w:t>（三）</w:t>
      </w:r>
      <w:bookmarkStart w:id="94" w:name="_Hlk136963001"/>
      <w:bookmarkStart w:id="95" w:name="_Hlk152077629"/>
      <w:r>
        <w:rPr>
          <w:rFonts w:hint="eastAsia" w:ascii="楷体_GB2312" w:hAnsi="楷体_GB2312" w:eastAsia="楷体_GB2312" w:cs="楷体_GB2312"/>
          <w:b w:val="0"/>
          <w:spacing w:val="-6"/>
          <w:sz w:val="32"/>
          <w:szCs w:val="32"/>
        </w:rPr>
        <w:t>清新空气示范区创建工程</w:t>
      </w:r>
      <w:bookmarkEnd w:id="92"/>
      <w:bookmarkEnd w:id="93"/>
      <w:bookmarkEnd w:id="94"/>
    </w:p>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陕西省汉中市坚决打赢蓝天保卫战的要求，以推进洋县空气质量更加“洁净”为导向，争取省市支持组织开展清新空气示范区建设试点，探索示范区建设标准，深化大气污染源精准治理，实现全县环境空气质量在较高水平上持续改善。</w:t>
      </w:r>
    </w:p>
    <w:bookmarkEnd w:id="95"/>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积极争取开展清新空气示范区建设试点。</w:t>
      </w:r>
      <w:r>
        <w:rPr>
          <w:rFonts w:hint="eastAsia" w:ascii="仿宋_GB2312" w:hAnsi="仿宋_GB2312" w:eastAsia="仿宋_GB2312" w:cs="仿宋_GB2312"/>
          <w:spacing w:val="-6"/>
          <w:sz w:val="32"/>
          <w:szCs w:val="32"/>
        </w:rPr>
        <w:t>争取省市政府支持，开展清新空气示范区建设试点。</w:t>
      </w:r>
      <w:bookmarkStart w:id="96" w:name="_Hlk152077689"/>
      <w:r>
        <w:rPr>
          <w:rFonts w:hint="eastAsia" w:ascii="仿宋_GB2312" w:hAnsi="仿宋_GB2312" w:eastAsia="仿宋_GB2312" w:cs="仿宋_GB2312"/>
          <w:spacing w:val="-6"/>
          <w:sz w:val="32"/>
          <w:szCs w:val="32"/>
        </w:rPr>
        <w:t>探索清新空气示范区评价办法，探索建立涵盖森林释氧力、森林净化力、大气治理能力、环境管理能力等在内的符合秦岭地区特色的清新空气示范区评价指标，编制实施洋县清新空气示范区建设方案</w:t>
      </w:r>
      <w:bookmarkEnd w:id="96"/>
      <w:r>
        <w:rPr>
          <w:rFonts w:hint="eastAsia" w:ascii="仿宋_GB2312" w:hAnsi="仿宋_GB2312" w:eastAsia="仿宋_GB2312" w:cs="仿宋_GB2312"/>
          <w:spacing w:val="-6"/>
          <w:sz w:val="32"/>
          <w:szCs w:val="32"/>
        </w:rPr>
        <w:t>，加快布设清新空气（负氧离子）自动监测网络，发布秦岭（洋县）环境空气质量健康指数（AQHI），实时发布环境健康预警信息，联动相关县市构建秦岭地区大气环境健康检测管理信息化平台。</w:t>
      </w:r>
    </w:p>
    <w:p>
      <w:pPr>
        <w:spacing w:line="580" w:lineRule="exact"/>
        <w:ind w:firstLine="600"/>
        <w:rPr>
          <w:rFonts w:ascii="仿宋_GB2312" w:hAnsi="仿宋_GB2312" w:eastAsia="仿宋_GB2312" w:cs="仿宋_GB2312"/>
          <w:spacing w:val="-6"/>
          <w:sz w:val="32"/>
          <w:szCs w:val="32"/>
        </w:rPr>
      </w:pPr>
      <w:bookmarkStart w:id="97" w:name="_Hlk152077749"/>
      <w:r>
        <w:rPr>
          <w:rFonts w:hint="eastAsia" w:ascii="仿宋_GB2312" w:hAnsi="仿宋_GB2312" w:eastAsia="仿宋_GB2312" w:cs="仿宋_GB2312"/>
          <w:b/>
          <w:bCs/>
          <w:spacing w:val="-6"/>
          <w:sz w:val="32"/>
          <w:szCs w:val="32"/>
        </w:rPr>
        <w:t>主动调整能源消费结构。</w:t>
      </w:r>
      <w:r>
        <w:rPr>
          <w:rFonts w:hint="eastAsia" w:ascii="仿宋_GB2312" w:hAnsi="仿宋_GB2312" w:eastAsia="仿宋_GB2312" w:cs="仿宋_GB2312"/>
          <w:spacing w:val="-6"/>
          <w:sz w:val="32"/>
          <w:szCs w:val="32"/>
        </w:rPr>
        <w:t>大力发展清洁能源，稳步发展垃圾焚烧发电，积极发展光伏发电，重点实施农光互补光伏发电项目。严格控制煤炭消费总量，发电和集中供热用煤占煤炭费总量比重达到国家要求。</w:t>
      </w:r>
    </w:p>
    <w:bookmarkEnd w:id="97"/>
    <w:p>
      <w:pPr>
        <w:spacing w:line="580" w:lineRule="exact"/>
        <w:ind w:firstLine="600"/>
        <w:rPr>
          <w:rFonts w:ascii="仿宋_GB2312" w:hAnsi="仿宋_GB2312" w:eastAsia="仿宋_GB2312" w:cs="仿宋_GB2312"/>
          <w:spacing w:val="-6"/>
          <w:sz w:val="32"/>
          <w:szCs w:val="32"/>
        </w:rPr>
      </w:pPr>
      <w:bookmarkStart w:id="98" w:name="_Hlk152077984"/>
      <w:r>
        <w:rPr>
          <w:rFonts w:hint="eastAsia" w:ascii="仿宋_GB2312" w:hAnsi="仿宋_GB2312" w:eastAsia="仿宋_GB2312" w:cs="仿宋_GB2312"/>
          <w:b/>
          <w:bCs/>
          <w:spacing w:val="-6"/>
          <w:sz w:val="32"/>
          <w:szCs w:val="32"/>
        </w:rPr>
        <w:t>深化工业企业废气治理。</w:t>
      </w:r>
      <w:r>
        <w:rPr>
          <w:rFonts w:hint="eastAsia" w:ascii="仿宋_GB2312" w:hAnsi="仿宋_GB2312" w:eastAsia="仿宋_GB2312" w:cs="仿宋_GB2312"/>
          <w:spacing w:val="-6"/>
          <w:sz w:val="32"/>
          <w:szCs w:val="32"/>
        </w:rPr>
        <w:t>全面开展“散乱污”企业及集群综合整治行动，淘汰和整治化工、砖窑建材等行业的“低散乱”问题涉气排放企业（作坊）。以水泥、化工、汽修、工业涂装等行业为重点，全面推进挥发性有机物治理和工业废气清洁排放改造。组织实施工业臭气异味治理，督促涉臭气异味企业采取封闭、加盖等措施提高臭气废气收集率和处理率，减少工业臭气异味排放。</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全面控制移动源污染排放。</w:t>
      </w:r>
      <w:r>
        <w:rPr>
          <w:rFonts w:hint="eastAsia" w:ascii="仿宋_GB2312" w:hAnsi="仿宋_GB2312" w:eastAsia="仿宋_GB2312" w:cs="仿宋_GB2312"/>
          <w:spacing w:val="-6"/>
          <w:sz w:val="32"/>
          <w:szCs w:val="32"/>
        </w:rPr>
        <w:t>推进老旧柴油车深度治理，加快淘汰国Ⅱ及以下排放的汽油车和国Ⅲ及以下排放的柴油车。提升燃油品质，全面供应符合国Ⅵ标准的车用汽柴油，实现车用柴油、普通柴油“两油并轨”。积极使用新能源汽车，加快推动汽车充电设施建设。加强县城、烧烤摊点等流动摊点污染治理，合理设置露天烧烤、餐饮摊点集中经营区，从严查处未安装高效油烟净化器或损坏未修复的油烟产生经营户，推广使用高效净化型油烟净化设施。</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深入推进城镇浊气和农村废气治理。</w:t>
      </w:r>
      <w:r>
        <w:rPr>
          <w:rFonts w:hint="eastAsia" w:ascii="仿宋_GB2312" w:hAnsi="仿宋_GB2312" w:eastAsia="仿宋_GB2312" w:cs="仿宋_GB2312"/>
          <w:spacing w:val="-6"/>
          <w:sz w:val="32"/>
          <w:szCs w:val="32"/>
        </w:rPr>
        <w:t>推进垃圾处理各环节恶臭治理和城镇污水处理厂、泵站臭气异味控制。坚持秸秆“全域、全时段、全面”禁烧，不断完善秸秆禁烧责任体系，禁止城市清扫废物、园林废物、建筑废弃物、生活垃圾、工业垃圾等露天焚烧，基本消除露天焚烧现象。强化餐饮服务企业油烟排放规范化整治，加强居民家庭油烟排放环保宣传，推广使用高效净化型家用吸油烟机。建立健全施工场地扬尘管理机制，推广装配式建筑，强化道路扬尘治理。严格烟花爆竹禁放管控，实施烟花爆竹“禁放区”内销售、燃放“双禁止”。控制农业源氨排放。</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域空气质量更加“洁净”，清新空气示范区建设试点全面启动，能源消费结构调整持续深入，大气污染源治理成效显著。到2025年，空气质量持续保持全国前列，平均空气质量优良率达到92%，平均AQI常年维持在40左右，全县监测点位负氧离子浓度平均达到2000-3500个/立方厘米，重点区域超过3500个/立方厘米。</w:t>
      </w:r>
    </w:p>
    <w:bookmarkEnd w:id="98"/>
    <w:p>
      <w:pPr>
        <w:pStyle w:val="4"/>
        <w:widowControl w:val="0"/>
        <w:overflowPunct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99" w:name="_Toc133539466"/>
      <w:bookmarkStart w:id="100" w:name="_Toc13745"/>
      <w:bookmarkStart w:id="101" w:name="_Hlk152078125"/>
      <w:r>
        <w:rPr>
          <w:rFonts w:hint="eastAsia" w:ascii="楷体_GB2312" w:hAnsi="楷体_GB2312" w:eastAsia="楷体_GB2312" w:cs="楷体_GB2312"/>
          <w:b w:val="0"/>
          <w:spacing w:val="-6"/>
          <w:sz w:val="32"/>
          <w:szCs w:val="32"/>
        </w:rPr>
        <w:t>（四）</w:t>
      </w:r>
      <w:bookmarkStart w:id="102" w:name="_Hlk136963020"/>
      <w:r>
        <w:rPr>
          <w:rFonts w:hint="eastAsia" w:ascii="楷体_GB2312" w:hAnsi="楷体_GB2312" w:eastAsia="楷体_GB2312" w:cs="楷体_GB2312"/>
          <w:b w:val="0"/>
          <w:spacing w:val="-6"/>
          <w:sz w:val="32"/>
          <w:szCs w:val="32"/>
        </w:rPr>
        <w:t>“清流永续北上”源头保障工程</w:t>
      </w:r>
      <w:bookmarkEnd w:id="99"/>
      <w:bookmarkEnd w:id="100"/>
      <w:bookmarkEnd w:id="102"/>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南水北调中线水源地、引汉济渭工程饮用水水源等重大生态功能定位，坚持封治结合，统筹水源地系统保护修复，强化流域水土流失治理，持续提升涵养水源功能，积极推进“污水零直排区”建设，提升污水设施处理能力，着力改善全域水环境质量，为一江清水永续流动构筑源头保护屏障。</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统筹水源地保护修复治理。</w:t>
      </w:r>
      <w:r>
        <w:rPr>
          <w:rFonts w:hint="eastAsia" w:ascii="仿宋_GB2312" w:hAnsi="仿宋_GB2312" w:eastAsia="仿宋_GB2312" w:cs="仿宋_GB2312"/>
          <w:spacing w:val="-6"/>
          <w:sz w:val="32"/>
          <w:szCs w:val="32"/>
        </w:rPr>
        <w:t>严格落实国家“南水北调”、陕西“引汉济渭”工程饮用水水源保护区的保护措施，完善保护标志、标牌、界桩。综合采取保护保育、自然恢复、辅助再生、生态重建等模式推进水源地生态恢复治理，对江河上游源头、水库集水区以及植被恢复较困难的区域实施全封，对有一定目的树种、生长良好、林木覆盖度较大的区域强化水源林建设，采取新造、改造方式，培育多树种混交的近自然林，提升蓄水留水能力。</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统筹全域水生态系统治理。</w:t>
      </w:r>
      <w:r>
        <w:rPr>
          <w:rFonts w:hint="eastAsia" w:ascii="仿宋_GB2312" w:hAnsi="仿宋_GB2312" w:eastAsia="仿宋_GB2312" w:cs="仿宋_GB2312"/>
          <w:spacing w:val="-6"/>
          <w:sz w:val="32"/>
          <w:szCs w:val="32"/>
        </w:rPr>
        <w:t>强化水土流失治理，在全县845平方公里水土流失范围内划定重点防治区，综合采取植物治理和工程治理相结合的治理措施，遏制水土流失。组织实施汉江综合整治和小流域治理工程，落实林分改良、坡面整治、沟道防护、水土保持林建设、治塘筑堰、坡改梯、梯田改造、封禁治理及小型水利水保等工程措施，提升水土流失重点防治区治理能力。组织开展以小流域为单元的山水田林路村综合治理，重点开展坡改梯、坡改果梯、荒山造生态林等建设项目，加强坡面、沟道及村庄等重点治理区的水土流失综合防治。强化湿地保护修复，加强陕西汉江湿地和汉中湑水河湿地等省重点湿地的生态保护，严格控制湿地及周边区域开发范围和强度。积极创建国家湿地公园，采取以自然恢复为主与人工修复相结合的方式，对集中连片、破碎化严重、功能退化的自然湿地进行修复，提高湿地保护率。推进河湖库水系连通，组织实施河库连接工程，加快推进靳家河水库至上沟水库、大井沟水库至石板沟水库、寨坡水库至刘家沟水库、两河口水库至夭庄水库、程家河水库至小刘家沟水库、引酉干渠到各调蓄水库的连接管道及渠道建设，有效改善流域水生态。</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推进“污水零直排区”建设。</w:t>
      </w:r>
      <w:r>
        <w:rPr>
          <w:rFonts w:hint="eastAsia" w:ascii="仿宋_GB2312" w:hAnsi="仿宋_GB2312" w:eastAsia="仿宋_GB2312" w:cs="仿宋_GB2312"/>
          <w:spacing w:val="-6"/>
          <w:sz w:val="32"/>
          <w:szCs w:val="32"/>
        </w:rPr>
        <w:t>严格执行水资源开发利用控制红线和水功能区限制纳污红线，持续深化沿江城镇和污染耗能行业整治提升，重点控制氮、磷等水污染物排放。坚持水岸同治、源头截污理念，以县城老旧小区、工业区等为重点，加快实施雨污分流改造和污水截污纳管，打通断头管、修复破损管、纠正错接管、改造混接管、疏通淤积管，推进“污水零直排区”建设。深入推进近岸水域污染防治，建立完善排污口管理清单台账，强化排污口整治和直排污染源监管，全面改善水域生态环境。</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提升污水设施处理能力。</w:t>
      </w:r>
      <w:r>
        <w:rPr>
          <w:rFonts w:hint="eastAsia" w:ascii="仿宋_GB2312" w:hAnsi="仿宋_GB2312" w:eastAsia="仿宋_GB2312" w:cs="仿宋_GB2312"/>
          <w:spacing w:val="-6"/>
          <w:sz w:val="32"/>
          <w:szCs w:val="32"/>
        </w:rPr>
        <w:t>分类分区域推进污水处理厂建设，加快洋县污水处理厂二期扩容项目建设进程，强化沿江7镇污水处理设施稳定达标运行，进一步提高污水处理率、运行负荷率、达标排放率。统筹推进县城污水管网建设与改造，加大配套管网建设力度，实施沿江城镇污水处理设施主支管网建设工程，完成县城污水管网修复工程，基本实现城镇和开发区（园区）截污纳管全覆盖。</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水北调中线水源地生态安全屏障持续筑牢，蓄水留水能力持续提升，全域水生态系统治理有序推进，“污水零直排区”基本建成，污水设施处理能力进一步提升。到2025年，水源保护地达标率达到100%，综合治理水土流失面积100平方公里，全域地表水监测断面水质100%达到或优于Ⅲ类，出境水质 100%达到Ⅱ类，“水十条”国家考核断面全面达标，跨行政区域河流交接断面水质 100%达标，全域水环境质量得到更高水平改善。</w:t>
      </w:r>
    </w:p>
    <w:bookmarkEnd w:id="101"/>
    <w:p>
      <w:pPr>
        <w:pStyle w:val="4"/>
        <w:widowControl w:val="0"/>
        <w:overflowPunct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03" w:name="_Toc133539467"/>
      <w:bookmarkStart w:id="104" w:name="_Toc27437"/>
      <w:r>
        <w:rPr>
          <w:rFonts w:hint="eastAsia" w:ascii="楷体_GB2312" w:hAnsi="楷体_GB2312" w:eastAsia="楷体_GB2312" w:cs="楷体_GB2312"/>
          <w:b w:val="0"/>
          <w:spacing w:val="-6"/>
          <w:sz w:val="32"/>
          <w:szCs w:val="32"/>
        </w:rPr>
        <w:t>（五）</w:t>
      </w:r>
      <w:bookmarkStart w:id="105" w:name="_Hlk136963040"/>
      <w:bookmarkStart w:id="106" w:name="_Hlk152078427"/>
      <w:r>
        <w:rPr>
          <w:rFonts w:hint="eastAsia" w:ascii="楷体_GB2312" w:hAnsi="楷体_GB2312" w:eastAsia="楷体_GB2312" w:cs="楷体_GB2312"/>
          <w:b w:val="0"/>
          <w:spacing w:val="-6"/>
          <w:sz w:val="32"/>
          <w:szCs w:val="32"/>
        </w:rPr>
        <w:t>土壤污染综合防治工程</w:t>
      </w:r>
      <w:bookmarkEnd w:id="103"/>
      <w:bookmarkEnd w:id="104"/>
    </w:p>
    <w:bookmarkEnd w:id="105"/>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保护优先、预防为主、风险管控总体原则，持续推进土壤污染防治攻坚行动，突出精准治污、科学治污，系统防治土壤、地下水和农村面源污染，强化水土环境风险协同防控，强化土壤和地下水污染风险管控和修复，着力保障农产品质量安全、人居环境安全、地下水生态环境安全。</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推进土壤污染防治。加强耕地污染源头控制，严格控制涉重金属行业企业污染物排放，以矿产资源开发利用集中和安全利用类、严格管控类耕地集中的镇街为重点，严格落实排放要求，配合汉中市更新重点重金属特别排放限值区域，动态更新涉镉等重金属污染源整治清单。着力防范工矿企业新增土壤污染，严格落实建设项目土壤环境影响评价制度，强化重点监管单位监管，动态更新土壤污染重点监管单位名录，定期开展土壤污染重点监管单位周边土壤环境监测。聚焦重有色金属采选和冶炼、涉重金属无机化工等重点行业，鼓励企业实施清洁生产改造。</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推进土壤安全利用。深入实施耕地分类管理，切实加大耕地保护力度，依法将符合条件的优先保护类耕地划为永久基本农田。完善耕地土壤污染防治工作台账，细化明确区域内受污染耕地管控措施。因地制宜建立安全利用技术库和农作物种植推荐清单，推广应用品种替代、水肥调控、生理阻隔、土壤调理等安全利用技术。根据土地利用变更、土壤和农产品协同监测结果等，动态调整耕地土壤环境质量类别。严格建设用地准入管理，以用途变更为“一住两公”的地块为重点，因地制宜适当提前开展土壤污染状况调查和风险评估，不断强化土壤污染状况调查质量监管。加强建设用地土壤污染风险管控和修复名录地块转入管理，禁止已列入建设用地土壤污染风险管控和修复名录的地块作为住宅、公共管理与公共服务用地，禁止办理相关手续。涉及成片污染地块分期分批开发的项目和污染地块周边土地开发的项目，必须优化开发时序，居住、学校、养老机构等用地应在毗邻地块土壤污染风险管控和修复完成后再投入使用。加快建设洋县土壤环境信息化管理平台，建立完善洋县土壤环境基础数据库，构建“土壤+农产品质量”“土壤+地下水环境”“用地准入+联动监管”多部门协同监测数据采集与共享机制。</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推进地下水污染防治。以谢村镇为重点，开展地下水国考点位水质分析及周边污染源调查评估。及早划定地下水污染防治重点区，实施地下水环境分区管理、分级防治。推进地下水污染防治试验区建设。</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深化农村环境综合整治。</w:t>
      </w:r>
      <w:r>
        <w:rPr>
          <w:rFonts w:hint="eastAsia" w:ascii="仿宋_GB2312" w:hAnsi="仿宋_GB2312" w:eastAsia="仿宋_GB2312" w:cs="仿宋_GB2312"/>
          <w:spacing w:val="-6"/>
          <w:sz w:val="32"/>
          <w:szCs w:val="32"/>
        </w:rPr>
        <w:t>强化农业面源污染治理，加强农业投入品质量监管，从严查处向农田施用重金属不达标肥料等农业投入品的行为。深入实施化肥施用量零增长行动，积极推广测土配方施肥, 推行秸秆还田，鼓励使用农家肥和新型有机肥。促进农药减量化使用，鼓励使用生物农药或高效、低毒、低残留农药，推广作物病虫草害综合防治和生物防治。深化农村水环境综合整治，推进农村生活污水处理设施提标改造，加大农家乐、民宿污水治理力度。严格控制畜禽粪污等农业面源污染防治，存栏500头以上规模养殖场全面建设封闭式集粪棚。加快水产养殖绿色发展，开展水产养殖集中区域水环境监测。到2025年，日处理能力30吨以上的农村生活污水处理设施标准化运维比例达到100%，畜禽粪污综合利用率达到 90%。</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县土壤和地下水环境质量总体保持稳定，受污染耕地安全利用成效持续巩固提升，重点建设用地安全利用得到有效保障，农业面源污染实现有效管控。到2025年，受污染耕地安全利用率达到100%，主要农作物化肥使用量实现零增长，改良土壤6万亩。</w:t>
      </w:r>
    </w:p>
    <w:bookmarkEnd w:id="53"/>
    <w:bookmarkEnd w:id="106"/>
    <w:p>
      <w:pPr>
        <w:pStyle w:val="3"/>
        <w:keepNext w:val="0"/>
        <w:keepLines w:val="0"/>
        <w:overflowPunct w:val="0"/>
        <w:spacing w:before="0" w:after="0" w:line="580" w:lineRule="exact"/>
        <w:ind w:firstLine="616" w:firstLineChars="200"/>
        <w:rPr>
          <w:rFonts w:ascii="黑体" w:hAnsi="黑体" w:eastAsia="黑体" w:cs="黑体"/>
          <w:b w:val="0"/>
          <w:bCs w:val="0"/>
          <w:spacing w:val="-6"/>
          <w:sz w:val="32"/>
          <w:szCs w:val="32"/>
        </w:rPr>
      </w:pPr>
      <w:bookmarkStart w:id="107" w:name="_Toc133539468"/>
      <w:bookmarkStart w:id="108" w:name="_Toc9771"/>
      <w:r>
        <w:rPr>
          <w:rFonts w:hint="eastAsia" w:ascii="黑体" w:hAnsi="黑体" w:eastAsia="黑体" w:cs="黑体"/>
          <w:b w:val="0"/>
          <w:bCs w:val="0"/>
          <w:spacing w:val="-6"/>
          <w:sz w:val="32"/>
          <w:szCs w:val="32"/>
        </w:rPr>
        <w:t>五、</w:t>
      </w:r>
      <w:bookmarkStart w:id="109" w:name="_Hlk136963150"/>
      <w:r>
        <w:rPr>
          <w:rFonts w:hint="eastAsia" w:ascii="黑体" w:hAnsi="黑体" w:eastAsia="黑体" w:cs="黑体"/>
          <w:b w:val="0"/>
          <w:bCs w:val="0"/>
          <w:spacing w:val="-6"/>
          <w:sz w:val="32"/>
          <w:szCs w:val="32"/>
        </w:rPr>
        <w:t>高质量提升经营性生态产品供给能力</w:t>
      </w:r>
      <w:bookmarkEnd w:id="107"/>
      <w:bookmarkEnd w:id="108"/>
      <w:bookmarkEnd w:id="109"/>
    </w:p>
    <w:p>
      <w:pPr>
        <w:overflowPunct w:val="0"/>
        <w:spacing w:line="580" w:lineRule="exact"/>
        <w:ind w:firstLine="616" w:firstLineChars="200"/>
        <w:rPr>
          <w:rFonts w:ascii="仿宋" w:hAnsi="仿宋" w:eastAsia="仿宋" w:cs="仿宋"/>
          <w:spacing w:val="-6"/>
          <w:sz w:val="32"/>
          <w:szCs w:val="32"/>
        </w:rPr>
      </w:pPr>
      <w:bookmarkStart w:id="110" w:name="_Hlk136966086"/>
      <w:r>
        <w:rPr>
          <w:rFonts w:hint="eastAsia" w:ascii="仿宋_GB2312" w:hAnsi="仿宋_GB2312" w:eastAsia="仿宋_GB2312" w:cs="仿宋_GB2312"/>
          <w:spacing w:val="-6"/>
          <w:sz w:val="32"/>
          <w:szCs w:val="32"/>
        </w:rPr>
        <w:t>立足洋县生态优势和有机产业基础，</w:t>
      </w:r>
      <w:bookmarkEnd w:id="110"/>
      <w:r>
        <w:rPr>
          <w:rFonts w:hint="eastAsia" w:ascii="仿宋_GB2312" w:hAnsi="仿宋_GB2312" w:eastAsia="仿宋_GB2312" w:cs="仿宋_GB2312"/>
          <w:spacing w:val="-6"/>
          <w:sz w:val="32"/>
          <w:szCs w:val="32"/>
        </w:rPr>
        <w:t>坚持“人无我有”“人有我优”发展思路，着力构建有机现代化全产业链体系。培育做强“米、果、菌、药、畜”五大支柱为主体的有机产业板块；坚持生态赋能、服务提升，推动生态资源市场性转化，持续做精生态医养为特色的现代旅游服务业；以工业产业高质量发展为核心，建设绿色循环产业聚集地，科学部署产业链、创新链，构建多业支撑、具有创新活力的高质量现代产业体系。</w:t>
      </w:r>
    </w:p>
    <w:p>
      <w:pPr>
        <w:overflowPunct w:val="0"/>
        <w:spacing w:line="580" w:lineRule="exact"/>
        <w:ind w:firstLine="616" w:firstLineChars="200"/>
        <w:rPr>
          <w:rFonts w:ascii="楷体_GB2312" w:hAnsi="楷体_GB2312" w:eastAsia="楷体_GB2312" w:cs="楷体_GB2312"/>
          <w:bCs/>
          <w:spacing w:val="-6"/>
          <w:sz w:val="32"/>
          <w:szCs w:val="32"/>
        </w:rPr>
      </w:pPr>
      <w:bookmarkStart w:id="111" w:name="_Toc22346"/>
      <w:bookmarkStart w:id="112" w:name="_Toc133539469"/>
      <w:r>
        <w:rPr>
          <w:rFonts w:hint="eastAsia" w:ascii="楷体_GB2312" w:hAnsi="楷体_GB2312" w:eastAsia="楷体_GB2312" w:cs="楷体_GB2312"/>
          <w:bCs/>
          <w:spacing w:val="-6"/>
          <w:sz w:val="32"/>
          <w:szCs w:val="32"/>
        </w:rPr>
        <w:t>（一）</w:t>
      </w:r>
      <w:bookmarkStart w:id="113" w:name="_Hlk136963209"/>
      <w:bookmarkStart w:id="114" w:name="_Hlk152079214"/>
      <w:r>
        <w:rPr>
          <w:rFonts w:hint="eastAsia" w:ascii="楷体_GB2312" w:hAnsi="楷体_GB2312" w:eastAsia="楷体_GB2312" w:cs="楷体_GB2312"/>
          <w:bCs/>
          <w:spacing w:val="-6"/>
          <w:sz w:val="32"/>
          <w:szCs w:val="32"/>
        </w:rPr>
        <w:t>有机产业全产业链提升工程</w:t>
      </w:r>
      <w:bookmarkEnd w:id="111"/>
      <w:bookmarkEnd w:id="112"/>
      <w:bookmarkEnd w:id="113"/>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overflowPunct w:val="0"/>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米、果、菌、药、畜五大有机产业领航，以建设优势特色有机产业集群为着力点，建成一批绿色优质原料基地，培育一批产加销服紧密连接、大中小微主体分工协作的产业集聚区、产业强镇，配套完善加工设施装备，畅通商贸物流节点，促进种养加、产供销、贸工农一体化发展。推动生态产业链纵深发展，深化农业供给侧结构性改革，以实施乡村振兴战略契机，巩固推进“六区联建 ”成果，以“一产”为基础接二连三，做大生产，建成基础牢固、功能完备、效益明显、产业全链、融合程度高的现代有机产业体系，打造立足西北、面向全国的有机产业高地。</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overflowPunct w:val="0"/>
        <w:spacing w:line="580" w:lineRule="exact"/>
        <w:ind w:firstLine="619" w:firstLineChars="200"/>
        <w:rPr>
          <w:rFonts w:ascii="仿宋_GB2312" w:hAnsi="仿宋_GB2312" w:eastAsia="仿宋_GB2312" w:cs="仿宋_GB2312"/>
          <w:spacing w:val="-6"/>
          <w:sz w:val="32"/>
          <w:szCs w:val="32"/>
        </w:rPr>
      </w:pPr>
      <w:bookmarkStart w:id="115" w:name="_Hlk152079847"/>
      <w:r>
        <w:rPr>
          <w:rFonts w:hint="eastAsia" w:ascii="仿宋_GB2312" w:hAnsi="仿宋_GB2312" w:eastAsia="仿宋_GB2312" w:cs="仿宋_GB2312"/>
          <w:b/>
          <w:bCs/>
          <w:spacing w:val="-6"/>
          <w:sz w:val="32"/>
          <w:szCs w:val="32"/>
        </w:rPr>
        <w:t>聚焦做大规模，高标准建设原料生产基地。</w:t>
      </w:r>
      <w:r>
        <w:rPr>
          <w:rFonts w:hint="eastAsia" w:ascii="仿宋_GB2312" w:hAnsi="仿宋_GB2312" w:eastAsia="仿宋_GB2312" w:cs="仿宋_GB2312"/>
          <w:spacing w:val="-6"/>
          <w:sz w:val="32"/>
          <w:szCs w:val="32"/>
        </w:rPr>
        <w:t>依托三大有机产业经济带，围绕“米、果、药、菌、畜”五大产业，以生产基地建设为抓手，加快推进集约化规模化标准化有机产品生产。</w:t>
      </w:r>
      <w:bookmarkEnd w:id="115"/>
      <w:r>
        <w:rPr>
          <w:rFonts w:hint="eastAsia" w:ascii="仿宋_GB2312" w:hAnsi="仿宋_GB2312" w:eastAsia="仿宋_GB2312" w:cs="仿宋_GB2312"/>
          <w:b/>
          <w:bCs/>
          <w:spacing w:val="-6"/>
          <w:sz w:val="32"/>
          <w:szCs w:val="32"/>
        </w:rPr>
        <w:t>高标准建设有机稻米示范基</w:t>
      </w:r>
      <w:r>
        <w:rPr>
          <w:rFonts w:hint="eastAsia" w:ascii="仿宋_GB2312" w:hAnsi="仿宋_GB2312" w:eastAsia="仿宋_GB2312" w:cs="仿宋_GB2312"/>
          <w:b/>
          <w:spacing w:val="-6"/>
          <w:sz w:val="32"/>
          <w:szCs w:val="32"/>
        </w:rPr>
        <w:t>地</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themeColor="text1"/>
          <w:spacing w:val="-6"/>
          <w:sz w:val="32"/>
          <w:szCs w:val="32"/>
        </w:rPr>
        <w:t>以平川乡镇和街道为重点，</w:t>
      </w:r>
      <w:r>
        <w:rPr>
          <w:rFonts w:hint="eastAsia" w:ascii="仿宋_GB2312" w:hAnsi="仿宋_GB2312" w:eastAsia="仿宋_GB2312" w:cs="仿宋_GB2312"/>
          <w:spacing w:val="-6"/>
          <w:sz w:val="32"/>
          <w:szCs w:val="32"/>
        </w:rPr>
        <w:t>优化稻米种植空间布局，重点推广“洋黑三号”“双亚黑一号”等糯型黑稻品种，不断扩大洋县黑米、五彩米等地域特色优势产品种植面积，鼓励引导各类经营主体创新合作模式，加强田网、路网、渠网等农田基础设施建设，完善生产基地电网、监控网等配套设施，提高农田抗灾减灾和收种全程机械化水平，持续推进稻米高标准大规模生产。</w:t>
      </w:r>
      <w:r>
        <w:rPr>
          <w:rFonts w:hint="eastAsia" w:ascii="仿宋_GB2312" w:hAnsi="仿宋_GB2312" w:eastAsia="仿宋_GB2312" w:cs="仿宋_GB2312"/>
          <w:b/>
          <w:bCs/>
          <w:spacing w:val="-6"/>
          <w:sz w:val="32"/>
          <w:szCs w:val="32"/>
        </w:rPr>
        <w:t>扩大有机果蔬种植基地规模。</w:t>
      </w:r>
      <w:r>
        <w:rPr>
          <w:rFonts w:hint="eastAsia" w:ascii="仿宋_GB2312" w:hAnsi="仿宋_GB2312" w:eastAsia="仿宋_GB2312" w:cs="仿宋_GB2312"/>
          <w:spacing w:val="-6"/>
          <w:sz w:val="32"/>
          <w:szCs w:val="32"/>
        </w:rPr>
        <w:t>依托秦巴盆地自然地理环境，发挥洋县黄金梨、猕猴桃、柑桔等果品产业优势，以市场需求为导向，以加强配套设施建设、种植技术推广为抓手，依托龙亭镇、磨子桥镇等重点乡镇促进有机鲜果基地规模化发展，提升果业标准化产业化水平；</w:t>
      </w:r>
      <w:r>
        <w:rPr>
          <w:rFonts w:hint="eastAsia" w:ascii="仿宋_GB2312" w:hAnsi="仿宋_GB2312" w:eastAsia="仿宋_GB2312" w:cs="仿宋_GB2312"/>
          <w:color w:val="000000" w:themeColor="text1"/>
          <w:spacing w:val="-6"/>
          <w:sz w:val="32"/>
          <w:szCs w:val="32"/>
        </w:rPr>
        <w:t>以马畅、洋州、龙亭、磨子桥等镇和街道为主，</w:t>
      </w:r>
      <w:r>
        <w:rPr>
          <w:rFonts w:hint="eastAsia" w:ascii="仿宋_GB2312" w:hAnsi="仿宋_GB2312" w:eastAsia="仿宋_GB2312" w:cs="仿宋_GB2312"/>
          <w:spacing w:val="-6"/>
          <w:sz w:val="32"/>
          <w:szCs w:val="32"/>
        </w:rPr>
        <w:t>重点围绕有机菜花、甘蓝、架豆等蔬菜，加大日光温室、蔬菜塑料大棚等设施应用规模，进一步加强果蔬产品产后处理，完善产品产后分拣、包装、保鲜储藏等商品化处理，形成全季节、高质量产品的有效供给，建设现代化有机蔬菜生产基地。</w:t>
      </w:r>
      <w:r>
        <w:rPr>
          <w:rFonts w:hint="eastAsia" w:ascii="仿宋_GB2312" w:hAnsi="仿宋_GB2312" w:eastAsia="仿宋_GB2312" w:cs="仿宋_GB2312"/>
          <w:b/>
          <w:bCs/>
          <w:spacing w:val="-6"/>
          <w:sz w:val="32"/>
          <w:szCs w:val="32"/>
        </w:rPr>
        <w:t>加强有机中药材基地建设</w:t>
      </w:r>
      <w:r>
        <w:rPr>
          <w:rFonts w:hint="eastAsia" w:ascii="仿宋_GB2312" w:hAnsi="仿宋_GB2312" w:eastAsia="仿宋_GB2312" w:cs="仿宋_GB2312"/>
          <w:spacing w:val="-6"/>
          <w:sz w:val="32"/>
          <w:szCs w:val="32"/>
        </w:rPr>
        <w:t>，以北部和东部山区丘陵为重点，以《有机国家标准GB/T19630-2019)》规范化种植指引，发展厚朴、山茱萸、杜仲、银杏、香橼、油用牡丹等木本中药材，推动中药现代化生产基地建设。</w:t>
      </w:r>
      <w:r>
        <w:rPr>
          <w:rFonts w:hint="eastAsia" w:ascii="仿宋_GB2312" w:hAnsi="仿宋_GB2312" w:eastAsia="仿宋_GB2312" w:cs="仿宋_GB2312"/>
          <w:b/>
          <w:bCs/>
          <w:spacing w:val="-6"/>
          <w:sz w:val="32"/>
          <w:szCs w:val="32"/>
        </w:rPr>
        <w:t>推进有机食用菌全过程产业基地建设</w:t>
      </w:r>
      <w:r>
        <w:rPr>
          <w:rFonts w:hint="eastAsia" w:ascii="仿宋_GB2312" w:hAnsi="仿宋_GB2312" w:eastAsia="仿宋_GB2312" w:cs="仿宋_GB2312"/>
          <w:spacing w:val="-6"/>
          <w:sz w:val="32"/>
          <w:szCs w:val="32"/>
        </w:rPr>
        <w:t>，以山区和南部丘陵为重点发展香菇、木耳、平菇、袋料食用菌等有机食用菌，推广“集中制袋、分散出菇”的专业化分工生产模式，因地制宜选择建设适宜的棚室设施，建设一批集原辅材料、生产环境、栽培管理、加工销售、仓储物流等环节的食用菌生产基地。</w:t>
      </w:r>
      <w:r>
        <w:rPr>
          <w:rFonts w:hint="eastAsia" w:ascii="仿宋_GB2312" w:hAnsi="仿宋_GB2312" w:eastAsia="仿宋_GB2312" w:cs="仿宋_GB2312"/>
          <w:b/>
          <w:bCs/>
          <w:spacing w:val="-6"/>
          <w:sz w:val="32"/>
          <w:szCs w:val="32"/>
        </w:rPr>
        <w:t>推进现代畜禽养殖基地建设</w:t>
      </w:r>
      <w:r>
        <w:rPr>
          <w:rFonts w:hint="eastAsia" w:ascii="仿宋_GB2312" w:hAnsi="仿宋_GB2312" w:eastAsia="仿宋_GB2312" w:cs="仿宋_GB2312"/>
          <w:spacing w:val="-6"/>
          <w:sz w:val="32"/>
          <w:szCs w:val="32"/>
        </w:rPr>
        <w:t>，严格控制汉江流域畜禽养殖总量，推动畜牧生产向环境承载能力较大区域转移，鼓励养殖大户、养殖场持续向规模化、标准化、数字化转型，支持有条件的养殖场引进机械化信息化设备，提高养殖饲草料生产与加工、饲草料投喂、环境控制、粪污收集等环节机械化率，加快养殖溯源系统建设，设立一批现代化养殖示范基地。</w:t>
      </w:r>
    </w:p>
    <w:p>
      <w:pPr>
        <w:overflowPunct w:val="0"/>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聚焦做优主体，高要求引培产业经营主体。</w:t>
      </w:r>
      <w:r>
        <w:rPr>
          <w:rFonts w:hint="eastAsia" w:ascii="仿宋_GB2312" w:hAnsi="仿宋_GB2312" w:eastAsia="仿宋_GB2312" w:cs="仿宋_GB2312"/>
          <w:spacing w:val="-6"/>
          <w:sz w:val="32"/>
          <w:szCs w:val="32"/>
        </w:rPr>
        <w:t>加大</w:t>
      </w:r>
      <w:r>
        <w:rPr>
          <w:rFonts w:hint="eastAsia" w:ascii="仿宋_GB2312" w:hAnsi="仿宋_GB2312" w:eastAsia="仿宋_GB2312" w:cs="仿宋_GB2312"/>
          <w:bCs/>
          <w:spacing w:val="-6"/>
          <w:sz w:val="32"/>
          <w:szCs w:val="32"/>
        </w:rPr>
        <w:t>扶持力度</w:t>
      </w:r>
      <w:r>
        <w:rPr>
          <w:rFonts w:hint="eastAsia" w:ascii="仿宋_GB2312" w:hAnsi="仿宋_GB2312" w:eastAsia="仿宋_GB2312" w:cs="仿宋_GB2312"/>
          <w:spacing w:val="-6"/>
          <w:sz w:val="32"/>
          <w:szCs w:val="32"/>
        </w:rPr>
        <w:t>，着力引培一批产业关联度大、辐射带动力强、实力雄厚的农业龙头企业，增强龙头企业的示范带动作用。促进</w:t>
      </w:r>
      <w:r>
        <w:rPr>
          <w:rFonts w:hint="eastAsia" w:ascii="仿宋_GB2312" w:hAnsi="仿宋_GB2312" w:eastAsia="仿宋_GB2312" w:cs="仿宋_GB2312"/>
          <w:b/>
          <w:bCs/>
          <w:spacing w:val="-6"/>
          <w:sz w:val="32"/>
          <w:szCs w:val="32"/>
        </w:rPr>
        <w:t>农产品经营主体合作联合</w:t>
      </w:r>
      <w:r>
        <w:rPr>
          <w:rFonts w:hint="eastAsia" w:ascii="仿宋_GB2312" w:hAnsi="仿宋_GB2312" w:eastAsia="仿宋_GB2312" w:cs="仿宋_GB2312"/>
          <w:spacing w:val="-6"/>
          <w:sz w:val="32"/>
          <w:szCs w:val="32"/>
        </w:rPr>
        <w:t>，引导农业企业、农民合作社、家庭农场、种养大户联合抱团发展，借鉴“庄浪模式”、“静宁模式”、“海升模式”经验，促进龙头企业、合作社、家庭农场、种养大户等主体间合作，加强有机产业企业间的相互协作，打造农业产业化联合体，引导有机企业组建产销联合体，实现资源共享、优势互补、抱团发展，形成规模效应和集聚效应。积极发展示范性、规范化</w:t>
      </w:r>
      <w:r>
        <w:rPr>
          <w:rFonts w:hint="eastAsia" w:ascii="仿宋_GB2312" w:hAnsi="仿宋_GB2312" w:eastAsia="仿宋_GB2312" w:cs="仿宋_GB2312"/>
          <w:b/>
          <w:bCs/>
          <w:spacing w:val="-6"/>
          <w:sz w:val="32"/>
          <w:szCs w:val="32"/>
        </w:rPr>
        <w:t>农民专业合作社</w:t>
      </w:r>
      <w:r>
        <w:rPr>
          <w:rFonts w:hint="eastAsia" w:ascii="仿宋_GB2312" w:hAnsi="仿宋_GB2312" w:eastAsia="仿宋_GB2312" w:cs="仿宋_GB2312"/>
          <w:spacing w:val="-6"/>
          <w:sz w:val="32"/>
          <w:szCs w:val="32"/>
        </w:rPr>
        <w:t>，倡导能人办社、制度立社、科技兴社和品牌强社，引导合作社发展连锁经营、兴办农产品加工业和农村资金互助社，鼓励合作社通过增资扩股，或以产业、品牌、资产为纽带进行整合与重组，提升农民专业合作社的运行质量和农民的组织化程度。充分</w:t>
      </w:r>
      <w:r>
        <w:rPr>
          <w:rFonts w:hint="eastAsia" w:ascii="仿宋_GB2312" w:hAnsi="仿宋_GB2312" w:eastAsia="仿宋_GB2312" w:cs="仿宋_GB2312"/>
          <w:b/>
          <w:bCs/>
          <w:spacing w:val="-6"/>
          <w:sz w:val="32"/>
          <w:szCs w:val="32"/>
        </w:rPr>
        <w:t>发挥国家级农村产业融合发展示范园优势</w:t>
      </w:r>
      <w:r>
        <w:rPr>
          <w:rFonts w:hint="eastAsia" w:ascii="仿宋_GB2312" w:hAnsi="仿宋_GB2312" w:eastAsia="仿宋_GB2312" w:cs="仿宋_GB2312"/>
          <w:spacing w:val="-6"/>
          <w:sz w:val="32"/>
          <w:szCs w:val="32"/>
        </w:rPr>
        <w:t>，以龙亭田园综合体建设省级试点项目为“三生融合”样板，总结可复制、可推广的发展经验，有基础、有特色、有潜力的农村小城镇和乡村旅游点，建设一批集“绿色发展、循环农业、文化传承、乡村旅游、康养体验”于一体的田园综合体。</w:t>
      </w:r>
    </w:p>
    <w:p>
      <w:pPr>
        <w:overflowPunct w:val="0"/>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聚焦做全链条，高质量健全有机产业链。</w:t>
      </w:r>
      <w:r>
        <w:rPr>
          <w:rFonts w:hint="eastAsia" w:ascii="仿宋_GB2312" w:hAnsi="仿宋_GB2312" w:eastAsia="仿宋_GB2312" w:cs="仿宋_GB2312"/>
          <w:spacing w:val="-6"/>
          <w:sz w:val="32"/>
          <w:szCs w:val="32"/>
        </w:rPr>
        <w:t>依托洋县有机产业园区，围绕“米、果、药、菌、畜”等五大产业，</w:t>
      </w:r>
      <w:r>
        <w:rPr>
          <w:rFonts w:hint="eastAsia" w:ascii="仿宋_GB2312" w:hAnsi="仿宋_GB2312" w:eastAsia="仿宋_GB2312" w:cs="仿宋_GB2312"/>
          <w:b/>
          <w:bCs/>
          <w:spacing w:val="-6"/>
          <w:sz w:val="32"/>
          <w:szCs w:val="32"/>
        </w:rPr>
        <w:t>重点发展有机农产品精深加工业</w:t>
      </w:r>
      <w:r>
        <w:rPr>
          <w:rFonts w:hint="eastAsia" w:ascii="仿宋_GB2312" w:hAnsi="仿宋_GB2312" w:eastAsia="仿宋_GB2312" w:cs="仿宋_GB2312"/>
          <w:spacing w:val="-6"/>
          <w:sz w:val="32"/>
          <w:szCs w:val="32"/>
        </w:rPr>
        <w:t>，促进有机产业链条成链成群，打造西北地区有机产业集群。加快围绕五大有机产业龙头企业建链、延链、补链，加大对现有发展基础好、辐射带动作用大、市场竞争力强的有机农牧产品加工龙头企业支持力度，拉动农牧业产加销全产业链条发展。</w:t>
      </w:r>
      <w:bookmarkStart w:id="116" w:name="_Hlk143812156"/>
      <w:r>
        <w:rPr>
          <w:rFonts w:hint="eastAsia" w:ascii="仿宋_GB2312" w:hAnsi="仿宋_GB2312" w:eastAsia="仿宋_GB2312" w:cs="仿宋_GB2312"/>
          <w:spacing w:val="-6"/>
          <w:sz w:val="32"/>
          <w:szCs w:val="32"/>
        </w:rPr>
        <w:t>围绕西安、成都等周边大城市对有机果蔬、有机鱼类等生鲜食品的大量需求，主动对接盒马等生鲜零售平台，探索培育“中央厨房+冷链配送+物流终端”“中央厨房+快餐门店”“健康数据+营养配餐+私人订制”等</w:t>
      </w:r>
      <w:r>
        <w:rPr>
          <w:rFonts w:hint="eastAsia" w:ascii="仿宋_GB2312" w:hAnsi="仿宋_GB2312" w:eastAsia="仿宋_GB2312" w:cs="仿宋_GB2312"/>
          <w:b/>
          <w:bCs/>
          <w:spacing w:val="-6"/>
          <w:sz w:val="32"/>
          <w:szCs w:val="32"/>
        </w:rPr>
        <w:t>加工业态</w:t>
      </w:r>
      <w:r>
        <w:rPr>
          <w:rFonts w:hint="eastAsia" w:ascii="仿宋_GB2312" w:hAnsi="仿宋_GB2312" w:eastAsia="仿宋_GB2312" w:cs="仿宋_GB2312"/>
          <w:spacing w:val="-6"/>
          <w:sz w:val="32"/>
          <w:szCs w:val="32"/>
        </w:rPr>
        <w:t>。</w:t>
      </w:r>
      <w:bookmarkEnd w:id="116"/>
      <w:r>
        <w:rPr>
          <w:rFonts w:hint="eastAsia" w:ascii="仿宋_GB2312" w:hAnsi="仿宋_GB2312" w:eastAsia="仿宋_GB2312" w:cs="仿宋_GB2312"/>
          <w:spacing w:val="-6"/>
          <w:sz w:val="32"/>
          <w:szCs w:val="32"/>
        </w:rPr>
        <w:t>以洋县极富特色的“米、果、药、菌、畜”有机农产品为依托，围绕二三线城市不断扩大的轻食代餐消费需求，加快</w:t>
      </w:r>
      <w:r>
        <w:rPr>
          <w:rFonts w:hint="eastAsia" w:ascii="仿宋_GB2312" w:hAnsi="仿宋_GB2312" w:eastAsia="仿宋_GB2312" w:cs="仿宋_GB2312"/>
          <w:b/>
          <w:bCs/>
          <w:spacing w:val="-6"/>
          <w:sz w:val="32"/>
          <w:szCs w:val="32"/>
        </w:rPr>
        <w:t>发展预制有机轻食产业，</w:t>
      </w:r>
      <w:r>
        <w:rPr>
          <w:rFonts w:hint="eastAsia" w:ascii="仿宋_GB2312" w:hAnsi="仿宋_GB2312" w:eastAsia="仿宋_GB2312" w:cs="仿宋_GB2312"/>
          <w:spacing w:val="-6"/>
          <w:sz w:val="32"/>
          <w:szCs w:val="32"/>
        </w:rPr>
        <w:t>梯度招引培育预制菜头部企业、领军企业，积极推进轻食研发中心及食材配送基地建设，同步打造西安、成都、重庆等城市轻食门店，着力把我国预制菜产业快速发展的“风口”转化提升洋县有机产业价值链的窗口期。围绕有机产业精深加工需求，</w:t>
      </w:r>
      <w:r>
        <w:rPr>
          <w:rFonts w:hint="eastAsia" w:ascii="仿宋_GB2312" w:hAnsi="仿宋_GB2312" w:eastAsia="仿宋_GB2312" w:cs="仿宋_GB2312"/>
          <w:b/>
          <w:bCs/>
          <w:spacing w:val="-6"/>
          <w:sz w:val="32"/>
          <w:szCs w:val="32"/>
        </w:rPr>
        <w:t>加快发展配套产业，</w:t>
      </w:r>
      <w:r>
        <w:rPr>
          <w:rFonts w:hint="eastAsia" w:ascii="仿宋_GB2312" w:hAnsi="仿宋_GB2312" w:eastAsia="仿宋_GB2312" w:cs="仿宋_GB2312"/>
          <w:spacing w:val="-6"/>
          <w:sz w:val="32"/>
          <w:szCs w:val="32"/>
        </w:rPr>
        <w:t>鼓励和支持企业、专业合作社、家庭农场等经营主体发展农产品产地初加工，提高果蔬、畜禽等生鲜农产品冷链、冷冻、包装、仓储和商品化处理水平。</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overflowPunct w:val="0"/>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按照“两年搭基础、三年见成效、五年大升级”进行分阶段建设。以“六区联建”为主线，推动有机产业升档晋级，园区水、电、路、气、讯等基础设施建设日臻完善，有机产品展馆、物流、检测、研发等体系初步建成，有机粮油加工、有机中药材加工、有机果蔬菜精深加工产业、生产服务性产业、有机康养产业五大产业规模不断扩大，有机农产品加工、生产、销售、服务为一体的产业体系不断完善。力争2025年之前，有机产业园入园企业达到20户以上，全县有机基地认证面积达到20万亩，实现有机产业产值18亿元以上。</w:t>
      </w:r>
    </w:p>
    <w:bookmarkEnd w:id="114"/>
    <w:p>
      <w:pPr>
        <w:pStyle w:val="4"/>
        <w:widowControl w:val="0"/>
        <w:overflowPunct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17" w:name="_Toc133539470"/>
      <w:bookmarkStart w:id="118" w:name="_Toc83"/>
      <w:r>
        <w:rPr>
          <w:rFonts w:hint="eastAsia" w:ascii="楷体_GB2312" w:hAnsi="楷体_GB2312" w:eastAsia="楷体_GB2312" w:cs="楷体_GB2312"/>
          <w:b w:val="0"/>
          <w:spacing w:val="-6"/>
          <w:sz w:val="32"/>
          <w:szCs w:val="32"/>
        </w:rPr>
        <w:t>（二）</w:t>
      </w:r>
      <w:bookmarkStart w:id="119" w:name="_Hlk136964959"/>
      <w:bookmarkStart w:id="120" w:name="_Hlk152080432"/>
      <w:r>
        <w:rPr>
          <w:rFonts w:hint="eastAsia" w:ascii="楷体_GB2312" w:hAnsi="楷体_GB2312" w:eastAsia="楷体_GB2312" w:cs="楷体_GB2312"/>
          <w:b w:val="0"/>
          <w:spacing w:val="-6"/>
          <w:sz w:val="32"/>
          <w:szCs w:val="32"/>
        </w:rPr>
        <w:t>有机产业高端品牌培育工程</w:t>
      </w:r>
      <w:bookmarkEnd w:id="117"/>
      <w:bookmarkEnd w:id="118"/>
      <w:bookmarkEnd w:id="119"/>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overflowPunct w:val="0"/>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有机立农、质量兴农、品牌强农，以现有有机产业为基础，以“质量兴县”为主题，以“品牌战略”为重点；以“发展有机生产、确保食品安全”为方向；以“标准、认证、品牌”为手段，狠抓基地强基础，依靠科技促升级，建设园区育龙头，打造品牌抢市场，做响“名片”、做稳营销，形成较为完备的生产、加工、管理、营销、监管等产业运行体系。打造全国知名品牌示范区，推进质量品牌与经济社会的协调、立体发展。</w:t>
      </w:r>
    </w:p>
    <w:bookmarkEnd w:id="120"/>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overflowPunct w:val="0"/>
        <w:spacing w:line="580" w:lineRule="exact"/>
        <w:ind w:firstLine="619" w:firstLineChars="200"/>
        <w:rPr>
          <w:rFonts w:ascii="仿宋_GB2312" w:hAnsi="仿宋_GB2312" w:eastAsia="仿宋_GB2312" w:cs="仿宋_GB2312"/>
          <w:spacing w:val="-6"/>
          <w:sz w:val="32"/>
          <w:szCs w:val="32"/>
        </w:rPr>
      </w:pPr>
      <w:bookmarkStart w:id="121" w:name="_Hlk152080666"/>
      <w:bookmarkStart w:id="122" w:name="_Hlk152080704"/>
      <w:r>
        <w:rPr>
          <w:rFonts w:hint="eastAsia" w:ascii="仿宋_GB2312" w:hAnsi="仿宋_GB2312" w:eastAsia="仿宋_GB2312" w:cs="仿宋_GB2312"/>
          <w:b/>
          <w:bCs/>
          <w:spacing w:val="-6"/>
          <w:sz w:val="32"/>
          <w:szCs w:val="32"/>
        </w:rPr>
        <w:t>聚焦做响“名片”，全方位推进品牌建设</w:t>
      </w:r>
      <w:bookmarkEnd w:id="121"/>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充分挖掘洋县有机产业文化内涵，按照“市场导向、政府主导、企业主体、全民参与”的原则，巧打“有机”、“朱鹮”、“地理标志产品保护”、“中华老字号”四张特色牌，推动有机产业标准化生产、优质化监管、融合化发展。</w:t>
      </w:r>
      <w:r>
        <w:rPr>
          <w:rFonts w:hint="eastAsia" w:ascii="仿宋_GB2312" w:hAnsi="仿宋_GB2312" w:eastAsia="仿宋_GB2312" w:cs="仿宋_GB2312"/>
          <w:b/>
          <w:bCs/>
          <w:spacing w:val="-6"/>
          <w:sz w:val="32"/>
          <w:szCs w:val="32"/>
        </w:rPr>
        <w:t>加大品牌宣传力度</w:t>
      </w:r>
      <w:r>
        <w:rPr>
          <w:rFonts w:hint="eastAsia" w:ascii="仿宋_GB2312" w:hAnsi="仿宋_GB2312" w:eastAsia="仿宋_GB2312" w:cs="仿宋_GB2312"/>
          <w:spacing w:val="-6"/>
          <w:sz w:val="32"/>
          <w:szCs w:val="32"/>
        </w:rPr>
        <w:t>，重点在朱鹮稻米及其深加工食品、黑米酒、薯类等深加工产品上求突破、扩市场、创品牌，打响独具特色的洋县有机品牌文化。</w:t>
      </w:r>
      <w:r>
        <w:rPr>
          <w:rFonts w:hint="eastAsia" w:ascii="仿宋_GB2312" w:hAnsi="仿宋_GB2312" w:eastAsia="仿宋_GB2312" w:cs="仿宋_GB2312"/>
          <w:b/>
          <w:bCs/>
          <w:spacing w:val="-6"/>
          <w:sz w:val="32"/>
          <w:szCs w:val="32"/>
        </w:rPr>
        <w:t>加强有机农产品标准的分类、完善与推广</w:t>
      </w:r>
      <w:r>
        <w:rPr>
          <w:rFonts w:hint="eastAsia" w:ascii="仿宋_GB2312" w:hAnsi="仿宋_GB2312" w:eastAsia="仿宋_GB2312" w:cs="仿宋_GB2312"/>
          <w:spacing w:val="-6"/>
          <w:sz w:val="32"/>
          <w:szCs w:val="32"/>
        </w:rPr>
        <w:t>，制定针对性和操作性强的有机农产品标准，逐步推行有机产业标准化生产与管理，以标准化生产提升有机农产品品牌质量，以标准化管理提升有机企业效益。</w:t>
      </w:r>
      <w:r>
        <w:rPr>
          <w:rFonts w:hint="eastAsia" w:ascii="仿宋_GB2312" w:hAnsi="仿宋_GB2312" w:eastAsia="仿宋_GB2312" w:cs="仿宋_GB2312"/>
          <w:b/>
          <w:bCs/>
          <w:spacing w:val="-6"/>
          <w:sz w:val="32"/>
          <w:szCs w:val="32"/>
        </w:rPr>
        <w:t>逐步建立农产品安全可追溯、产地准出等制度</w:t>
      </w:r>
      <w:r>
        <w:rPr>
          <w:rFonts w:hint="eastAsia" w:ascii="仿宋_GB2312" w:hAnsi="仿宋_GB2312" w:eastAsia="仿宋_GB2312" w:cs="仿宋_GB2312"/>
          <w:spacing w:val="-6"/>
          <w:sz w:val="32"/>
          <w:szCs w:val="32"/>
        </w:rPr>
        <w:t>，利用“互联网+”大数据平台，进一步完善优质农产品质量安全追溯系统平台和农产品质量检测信息系统，实现农产品追溯信息与市场接轨。</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2" w:type="dxa"/>
            <w:vAlign w:val="center"/>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专栏5-1：推动有机全产业链示范基地建设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Pr>
          <w:p>
            <w:pPr>
              <w:spacing w:line="360" w:lineRule="exact"/>
              <w:ind w:firstLine="420" w:firstLineChars="200"/>
              <w:rPr>
                <w:rFonts w:ascii="宋体" w:hAnsi="宋体" w:eastAsia="宋体" w:cs="宋体"/>
              </w:rPr>
            </w:pPr>
            <w:r>
              <w:rPr>
                <w:rFonts w:hint="eastAsia" w:ascii="宋体" w:hAnsi="宋体" w:eastAsia="宋体" w:cs="宋体"/>
              </w:rPr>
              <w:t>有机稻米示范基地：</w:t>
            </w:r>
            <w:r>
              <w:rPr>
                <w:rFonts w:hint="eastAsia" w:ascii="宋体" w:hAnsi="宋体" w:eastAsia="宋体" w:cs="宋体"/>
                <w:color w:val="000000" w:themeColor="text1"/>
              </w:rPr>
              <w:t>以马畅镇、谢村镇、溢水镇、戚氏街道、洋州街道、纸坊街道、龙亭镇、磨子桥镇、黄安镇等9个平川镇和街道为重点，</w:t>
            </w:r>
            <w:r>
              <w:rPr>
                <w:rFonts w:hint="eastAsia" w:ascii="宋体" w:hAnsi="宋体" w:eastAsia="宋体" w:cs="宋体"/>
              </w:rPr>
              <w:t>建设优质稻米基地13.5万亩，其中黑米基地6万亩，认证有机稻谷3万亩，有机黑谷基地1万亩；以洋县黑米、五彩米等地域特色优势产品为重点，开展科技攻关，提高黑米单产、品质和抗逆性，选育一批有突破性的新品种，重点推广“洋黑三号”“双亚黑一号”等糯型黑稻品种；强化农田基础设施建设，完善电网、监控网、物联网等配套设施，推广水稻集中育秧、机械插秧和机收技术；强化生产与管理的标准化建设，健全和完善洋县黑米的标准体系，作为后续有机产品的示范样板。</w:t>
            </w:r>
          </w:p>
          <w:p>
            <w:pPr>
              <w:spacing w:line="350" w:lineRule="exact"/>
              <w:ind w:firstLine="420" w:firstLineChars="200"/>
              <w:rPr>
                <w:rFonts w:ascii="宋体" w:hAnsi="宋体" w:eastAsia="宋体" w:cs="宋体"/>
              </w:rPr>
            </w:pPr>
            <w:r>
              <w:rPr>
                <w:rFonts w:hint="eastAsia" w:ascii="宋体" w:hAnsi="宋体" w:eastAsia="宋体" w:cs="宋体"/>
              </w:rPr>
              <w:t>有机果蔬生产加工基地：以</w:t>
            </w:r>
            <w:r>
              <w:rPr>
                <w:rFonts w:hint="eastAsia" w:ascii="宋体" w:hAnsi="宋体" w:eastAsia="宋体" w:cs="宋体"/>
                <w:color w:val="000000" w:themeColor="text1"/>
              </w:rPr>
              <w:t>纸坊街道、龙亭镇、磨子桥镇、溢水镇、谢村镇、华阳镇等乡镇和街道为重点，</w:t>
            </w:r>
            <w:r>
              <w:rPr>
                <w:rFonts w:hint="eastAsia" w:ascii="宋体" w:hAnsi="宋体" w:eastAsia="宋体" w:cs="宋体"/>
              </w:rPr>
              <w:t>大力实施果业兴旺工程，大力发展有机猕猴桃、黄金梨等优势果业，加快葡萄、大樱桃等特色果业，新建有机猕猴桃、有机梨、有机柑桔、石榴基地各1万亩，加大低产园改造，积极推广“灯、板、带、芯、螨”等有机、绿色标准化生产技术，完善节水灌溉设施配套，推广水肥一体化技术，不断提升蔬果品质和种植效率，到2025年，全县水果种植总面积递增到15万亩，水果总产达14.5万吨；大力发展精细菜、特色菜、反季节菜为主的高标准蔬菜产业，力争到2025年，全县蔬菜基地面积达到20万亩，总产量70万吨。以洋州街道、磨子桥镇、龙亭镇为主要承载区域，规划新建3万亩有机蔬菜种植基地，建设标准化蔬菜自动控温种苗繁育工厂2个，建设有机蔬菜示范园30个，配套建成1个蔬菜加工仓储物流产业园。</w:t>
            </w:r>
          </w:p>
          <w:p>
            <w:pPr>
              <w:spacing w:line="350" w:lineRule="exact"/>
              <w:ind w:firstLine="420" w:firstLineChars="200"/>
              <w:rPr>
                <w:rFonts w:ascii="宋体" w:hAnsi="宋体" w:eastAsia="宋体" w:cs="宋体"/>
              </w:rPr>
            </w:pPr>
            <w:r>
              <w:rPr>
                <w:rFonts w:hint="eastAsia" w:ascii="宋体" w:hAnsi="宋体" w:eastAsia="宋体" w:cs="宋体"/>
              </w:rPr>
              <w:t>有机中药材种植和加工基地：以关帝镇、金水镇、龙亭镇、黄金峡镇、黄家营镇为重点区域，新建10万亩厚朴、3万亩元胡、3万亩林下茯苓、1万亩黄姜等规范化种植基地。以关帝镇铁河村片区为核心，规划在洋县北部山区建设全国最大的厚朴基地，逐步建设集中药材种植、观光为一体的融合发展示范项目，打造中国厚朴之乡。以洋县有机产业园区依托，建设地道中药材饮片加工生产线、中药提取和医药制剂生产线、中间体医药保健品生产线，年产有机中药材深加工系列产品18000 吨。</w:t>
            </w:r>
          </w:p>
          <w:p>
            <w:pPr>
              <w:spacing w:line="350" w:lineRule="exact"/>
              <w:ind w:firstLine="420" w:firstLineChars="200"/>
              <w:rPr>
                <w:rFonts w:ascii="宋体" w:hAnsi="宋体" w:eastAsia="宋体" w:cs="宋体"/>
              </w:rPr>
            </w:pPr>
            <w:r>
              <w:rPr>
                <w:rFonts w:hint="eastAsia" w:ascii="宋体" w:hAnsi="宋体" w:eastAsia="宋体" w:cs="宋体"/>
              </w:rPr>
              <w:t>有机食用菌循环加工区：以华阳、茅坪等北部山区乡镇和黄安、黄家营等南部丘陵地带的乡镇为重点，建设有机食用菌基地，规模化发展有机食用菌，稳定香菇、黑木耳生产规模，增加羊肚菌、平菇等品种。充分利用种植业废弃物发展代料生产，加快申报“三品一标”认证，进一步完善食用菌产业聚集区的烘干、包装生产线，配套储藏、运输设备，不断提升提高食用菌集约化、专业化、标准化、产业化发展程度。到2025年新建规模以上生产基地10个，培育专业生产大户200户，全县发展食用菌20万架1000万袋、产量0.6万吨。</w:t>
            </w:r>
          </w:p>
          <w:p>
            <w:pPr>
              <w:spacing w:line="350" w:lineRule="exact"/>
              <w:ind w:firstLine="420" w:firstLineChars="200"/>
              <w:rPr>
                <w:rFonts w:ascii="宋体" w:hAnsi="宋体" w:eastAsia="宋体" w:cs="宋体"/>
              </w:rPr>
            </w:pPr>
            <w:r>
              <w:rPr>
                <w:rFonts w:hint="eastAsia" w:ascii="宋体" w:hAnsi="宋体" w:eastAsia="宋体" w:cs="宋体"/>
              </w:rPr>
              <w:t>现代化禽畜养殖基地：围绕终端市场需求，</w:t>
            </w:r>
            <w:r>
              <w:rPr>
                <w:rFonts w:hint="eastAsia" w:ascii="宋体" w:hAnsi="宋体" w:eastAsia="宋体" w:cs="宋体"/>
                <w:color w:val="000000" w:themeColor="text1"/>
              </w:rPr>
              <w:t>以戚氏街道、洋州街道、谢村镇、龙亭镇、磨子桥镇、黄安镇等为承载区域，重点引进西门塔尔、利木赞等新品种牛，加快打造“3万头优势肉牛养殖产业带”；以戚氏街道、谢村镇、马畅镇、溢水镇、磨子桥镇、黄安镇等重点区域为依托，建设“10万头生猪养殖基地”；依托黄家营镇、黄金峡镇、桑溪镇、金水镇、茅坪镇、八里关镇等，打造“2万头优势肉羊养殖产业带”；以八里关镇、华阳镇、茅坪镇、关帝镇、黄家营镇、黄金峡镇等为主要承载区域，打造“2万群秦巴山区</w:t>
            </w:r>
            <w:r>
              <w:rPr>
                <w:rFonts w:hint="eastAsia" w:ascii="宋体" w:hAnsi="宋体" w:eastAsia="宋体" w:cs="宋体"/>
              </w:rPr>
              <w:t>中蜂养殖产业带”。践行饲料中抗生素零添加战略，鼓励支持引导养殖龙头企业、大户开展肉羊、肉牛生猪规模化无抗养殖，着力打造肉牛、生猪、肉羊产业绿色有机高端品牌。充分发挥畜、禽、渔、蜂等养殖龙头企业的作用，加强配套粪污处理设施建设、产品认证、品牌打造和产业园配套设施建设，推动禽畜养殖清洁化有机化，全面提高洋县畜产品市场竞争力。</w:t>
            </w:r>
          </w:p>
          <w:p>
            <w:pPr>
              <w:spacing w:line="350" w:lineRule="exact"/>
              <w:ind w:firstLine="420" w:firstLineChars="200"/>
              <w:rPr>
                <w:rFonts w:ascii="宋体" w:hAnsi="宋体" w:eastAsia="宋体" w:cs="宋体"/>
              </w:rPr>
            </w:pPr>
            <w:r>
              <w:rPr>
                <w:rFonts w:hint="eastAsia" w:ascii="宋体" w:hAnsi="宋体" w:eastAsia="宋体" w:cs="宋体"/>
              </w:rPr>
              <w:t>有机农产品深加工提升工程：以有机产业园为依托，重点围绕西安、成都等周边大城市的消费市场需求，布局中央厨房、主食加工、休闲食品、方便食品、净菜加工，开发营养健康、方便快捷的系列产品，加强产品创新，着力提升有机黑米、五彩米、果品、中药材、畜禽、食用菌等农特产品精深加工水平。</w:t>
            </w:r>
          </w:p>
          <w:p>
            <w:pPr>
              <w:spacing w:line="350" w:lineRule="exact"/>
              <w:ind w:firstLine="420" w:firstLineChars="200"/>
            </w:pPr>
            <w:r>
              <w:rPr>
                <w:rFonts w:hint="eastAsia" w:ascii="宋体" w:hAnsi="宋体" w:eastAsia="宋体" w:cs="宋体"/>
              </w:rPr>
              <w:t>循环农业示范工程：加快谋划建设有机农业循环发展示范基地，重点发展稻鸭共养、稻鱼共生、稻鳅共作、生物防治等生态循环农业，不断提高资源综合利用效率。大力推动农作物秸秆综合利用、畜禽粪便和林业废弃物资源化利用、农田废弃物回收利用、农产品加工副产物综合利用，构建高效互补、生态循环的种养模式。采取先进的提取、分离技术，提高农副产物综合利用率，提升增值空间。</w:t>
            </w:r>
          </w:p>
        </w:tc>
      </w:tr>
    </w:tbl>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聚焦做稳营销，多元化拓宽销售渠道。</w:t>
      </w:r>
      <w:r>
        <w:rPr>
          <w:rFonts w:hint="eastAsia" w:ascii="仿宋_GB2312" w:hAnsi="仿宋_GB2312" w:eastAsia="仿宋_GB2312" w:cs="仿宋_GB2312"/>
          <w:spacing w:val="-6"/>
          <w:sz w:val="32"/>
          <w:szCs w:val="32"/>
        </w:rPr>
        <w:t>充分发挥政府的引导作用，线上线下结合，横纵方向协同推进，支持企业联合组建营销联盟，加快建设有机产品网店运营公共服务平台、洋县有机产品营销中心、跨区域直营店，力争进入盒马鲜生等大型新零售平台，采用“严选供应链+网红直播”的商贸模式，以多元化营销渠道打开市场。以农产品加工企业龙头、农业种植龙头企业、农业合作社带头人、家庭农场、专业大户、大学生村官等为主要对象，组织开展各类农业电商培训。</w:t>
      </w:r>
      <w:r>
        <w:rPr>
          <w:rFonts w:hint="eastAsia" w:ascii="仿宋_GB2312" w:hAnsi="仿宋_GB2312" w:eastAsia="仿宋_GB2312" w:cs="仿宋_GB2312"/>
          <w:b/>
          <w:bCs/>
          <w:spacing w:val="-6"/>
          <w:sz w:val="32"/>
          <w:szCs w:val="32"/>
        </w:rPr>
        <w:t>深化“政企合作”</w:t>
      </w:r>
      <w:r>
        <w:rPr>
          <w:rFonts w:hint="eastAsia" w:ascii="仿宋_GB2312" w:hAnsi="仿宋_GB2312" w:eastAsia="仿宋_GB2312" w:cs="仿宋_GB2312"/>
          <w:spacing w:val="-6"/>
          <w:sz w:val="32"/>
          <w:szCs w:val="32"/>
        </w:rPr>
        <w:t>，引导平台企业、流通企业、电子商务企业、仓储冷链企业加强合作，畅通农产品产销链，开展形式多样的品牌推广活动，打响洋县有机产品知名度。</w:t>
      </w:r>
    </w:p>
    <w:p>
      <w:pPr>
        <w:spacing w:afterLines="50"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聚焦做精体系，完善洋县有机产品经营网络。</w:t>
      </w:r>
      <w:r>
        <w:rPr>
          <w:rFonts w:hint="eastAsia" w:ascii="仿宋_GB2312" w:hAnsi="仿宋_GB2312" w:eastAsia="仿宋_GB2312" w:cs="仿宋_GB2312"/>
          <w:spacing w:val="-6"/>
          <w:sz w:val="32"/>
          <w:szCs w:val="32"/>
        </w:rPr>
        <w:t>加快建设县域综合型农产品加工物流园区、骨干市场和冷链物流设施，健全洋县农产品销售网络。加快推广应用数字农民合作经济联合会，推进生产、供销、信用“三位一体”服务数字化，打造品牌引领、产品高质的产销一体化服务体系。提升以“朱鹮”为核心的洋县区域公共品牌影响力，擦亮</w:t>
      </w:r>
      <w:r>
        <w:rPr>
          <w:rFonts w:hint="eastAsia" w:ascii="仿宋_GB2312" w:hAnsi="仿宋_GB2312" w:eastAsia="仿宋_GB2312" w:cs="仿宋_GB2312"/>
          <w:b/>
          <w:bCs/>
          <w:spacing w:val="-6"/>
          <w:sz w:val="32"/>
          <w:szCs w:val="32"/>
        </w:rPr>
        <w:t>有机特色农产品金字招牌</w:t>
      </w:r>
      <w:r>
        <w:rPr>
          <w:rFonts w:hint="eastAsia" w:ascii="仿宋_GB2312" w:hAnsi="仿宋_GB2312" w:eastAsia="仿宋_GB2312" w:cs="仿宋_GB2312"/>
          <w:spacing w:val="-6"/>
          <w:sz w:val="32"/>
          <w:szCs w:val="32"/>
        </w:rPr>
        <w:t>。开展农业实用技术、务工农民就业技能、转移农民就业适应性等</w:t>
      </w:r>
      <w:r>
        <w:rPr>
          <w:rFonts w:hint="eastAsia" w:ascii="仿宋_GB2312" w:hAnsi="仿宋_GB2312" w:eastAsia="仿宋_GB2312" w:cs="仿宋_GB2312"/>
          <w:b/>
          <w:bCs/>
          <w:spacing w:val="-6"/>
          <w:sz w:val="32"/>
          <w:szCs w:val="32"/>
        </w:rPr>
        <w:t>教育培训服务</w:t>
      </w:r>
      <w:r>
        <w:rPr>
          <w:rFonts w:hint="eastAsia" w:ascii="仿宋_GB2312" w:hAnsi="仿宋_GB2312" w:eastAsia="仿宋_GB2312" w:cs="仿宋_GB2312"/>
          <w:spacing w:val="-6"/>
          <w:sz w:val="32"/>
          <w:szCs w:val="32"/>
        </w:rPr>
        <w:t>，大力培养有文化、善经营、会管理的职业农民，培育一批规模经营户、科技示范户、营销专业户和适应现代经济社会发展的后备劳动力，提升全县农民的创业创新能力。培育专业化营销企业，促进优质优价，不断提高洋县特色有机产品市场份额。</w:t>
      </w:r>
    </w:p>
    <w:tbl>
      <w:tblPr>
        <w:tblStyle w:val="19"/>
        <w:tblpPr w:leftFromText="180" w:rightFromText="180" w:vertAnchor="text" w:horzAnchor="margin" w:tblpY="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专栏5-2：有机产业配套提升工程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tcPr>
          <w:p>
            <w:pPr>
              <w:spacing w:line="460" w:lineRule="exact"/>
              <w:ind w:firstLine="398" w:firstLineChars="200"/>
              <w:rPr>
                <w:rFonts w:ascii="宋体" w:hAnsi="宋体" w:eastAsia="宋体" w:cs="宋体"/>
                <w:spacing w:val="-6"/>
                <w:szCs w:val="21"/>
              </w:rPr>
            </w:pPr>
            <w:r>
              <w:rPr>
                <w:rFonts w:hint="eastAsia" w:ascii="宋体" w:hAnsi="宋体" w:eastAsia="宋体" w:cs="宋体"/>
                <w:b/>
                <w:bCs/>
                <w:spacing w:val="-6"/>
                <w:szCs w:val="21"/>
              </w:rPr>
              <w:t>洋县绿色（有机）产业专家工作站</w:t>
            </w:r>
            <w:r>
              <w:rPr>
                <w:rFonts w:hint="eastAsia" w:ascii="宋体" w:hAnsi="宋体" w:eastAsia="宋体" w:cs="宋体"/>
                <w:spacing w:val="-6"/>
                <w:szCs w:val="21"/>
              </w:rPr>
              <w:t>：提供人才引进、人才培育、创新激励等功能；对接高校、各类科研机构等创新活跃平台，提供从种质资源、病害防治、延伸加工等全方位的科技支撑。</w:t>
            </w:r>
          </w:p>
          <w:p>
            <w:pPr>
              <w:spacing w:line="460" w:lineRule="exact"/>
              <w:ind w:firstLine="422" w:firstLineChars="200"/>
              <w:rPr>
                <w:rFonts w:ascii="宋体" w:hAnsi="宋体" w:eastAsia="宋体" w:cs="宋体"/>
                <w:szCs w:val="21"/>
              </w:rPr>
            </w:pPr>
            <w:r>
              <w:rPr>
                <w:rFonts w:hint="eastAsia" w:ascii="宋体" w:hAnsi="宋体" w:eastAsia="宋体" w:cs="宋体"/>
                <w:b/>
                <w:bCs/>
                <w:szCs w:val="21"/>
              </w:rPr>
              <w:t>有机产品品牌推广工程</w:t>
            </w:r>
            <w:r>
              <w:rPr>
                <w:rFonts w:hint="eastAsia" w:ascii="宋体" w:hAnsi="宋体" w:eastAsia="宋体" w:cs="宋体"/>
                <w:szCs w:val="21"/>
              </w:rPr>
              <w:t>：以地理标识农产品的培育与挖掘为切入点，借助各类主题节会、会议会展，加强“洋县黑米”、“朱鹮”等公用品牌建设管控宣传推广，做大做强“洋县黑米”和“洋县红米”、打造“洋县香米”、“洋县红薯”等地理标志保护产品品牌，集中打造“洋县黑米”、“朱鹮之原·有机洋县”两个农产品区域公用品牌，提高区域公用品牌影响力。鼓励新型农业经营主体开展多种形式的推介活动，探索举办美食节、文化节、年货节等主题节会，积极参加国际性和全国性知名的特色产品展销会、博览会、对接推介会。</w:t>
            </w:r>
          </w:p>
          <w:p>
            <w:pPr>
              <w:spacing w:line="460" w:lineRule="exact"/>
              <w:ind w:firstLine="422" w:firstLineChars="200"/>
              <w:rPr>
                <w:rFonts w:ascii="仿宋" w:hAnsi="仿宋" w:eastAsia="仿宋" w:cs="仿宋"/>
                <w:sz w:val="32"/>
                <w:szCs w:val="32"/>
              </w:rPr>
            </w:pPr>
            <w:r>
              <w:rPr>
                <w:rFonts w:hint="eastAsia" w:ascii="宋体" w:hAnsi="宋体" w:eastAsia="宋体" w:cs="宋体"/>
                <w:b/>
                <w:bCs/>
                <w:szCs w:val="21"/>
              </w:rPr>
              <w:t>有机产品电商营销平台：</w:t>
            </w:r>
            <w:r>
              <w:rPr>
                <w:rFonts w:hint="eastAsia" w:ascii="宋体" w:hAnsi="宋体" w:eastAsia="宋体" w:cs="宋体"/>
                <w:szCs w:val="21"/>
              </w:rPr>
              <w:t>政府引领，搭建企业为主体的电商营销体系，通过互联网、电子商务、云计算、大数据、物联网等技术手段集合起来，解决农产品流通、质量监督、售后服务、农业安全等问题，将有机产品的线上推广整合起来，突出“洋县印象”品牌特色。</w:t>
            </w:r>
          </w:p>
        </w:tc>
      </w:tr>
      <w:bookmarkEnd w:id="122"/>
    </w:tbl>
    <w:p>
      <w:pPr>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按照“本地知名、全省著名、全国驰名、世界闻名”的梯次发展思路，加大品牌培育工作力度，把洋县丰富的自然资源和良好的生态环境优势转化为经济优势、品牌优势，实现洋县经济社会的循环可持续发展。在国家有机产品认证示范区、全国朱鹮生态保护产业知名品牌创建示范区建设的基础上，抓好国家农业绿色发展先行区规划建设，做大做强洋县黑米地理标志品牌，实现洋县黑米由“好米”变为“名米”。</w:t>
      </w:r>
    </w:p>
    <w:p>
      <w:pPr>
        <w:spacing w:line="580" w:lineRule="exact"/>
        <w:ind w:firstLine="616" w:firstLineChars="200"/>
        <w:rPr>
          <w:rFonts w:ascii="楷体_GB2312" w:hAnsi="楷体_GB2312" w:eastAsia="楷体_GB2312" w:cs="楷体_GB2312"/>
          <w:bCs/>
          <w:spacing w:val="-6"/>
          <w:sz w:val="32"/>
          <w:szCs w:val="32"/>
        </w:rPr>
      </w:pPr>
      <w:bookmarkStart w:id="123" w:name="_Toc26618"/>
      <w:bookmarkStart w:id="124" w:name="_Toc133539471"/>
      <w:bookmarkStart w:id="125" w:name="_Hlk152081456"/>
      <w:r>
        <w:rPr>
          <w:rFonts w:hint="eastAsia" w:ascii="楷体_GB2312" w:hAnsi="楷体_GB2312" w:eastAsia="楷体_GB2312" w:cs="楷体_GB2312"/>
          <w:bCs/>
          <w:spacing w:val="-6"/>
          <w:sz w:val="32"/>
          <w:szCs w:val="32"/>
        </w:rPr>
        <w:t>（三）</w:t>
      </w:r>
      <w:bookmarkStart w:id="126" w:name="_Hlk136964986"/>
      <w:r>
        <w:rPr>
          <w:rFonts w:hint="eastAsia" w:ascii="楷体_GB2312" w:hAnsi="楷体_GB2312" w:eastAsia="楷体_GB2312" w:cs="楷体_GB2312"/>
          <w:bCs/>
          <w:spacing w:val="-6"/>
          <w:sz w:val="32"/>
          <w:szCs w:val="32"/>
        </w:rPr>
        <w:t>生态旅游多元融合发展工程</w:t>
      </w:r>
      <w:bookmarkEnd w:id="123"/>
      <w:bookmarkEnd w:id="124"/>
      <w:bookmarkEnd w:id="126"/>
    </w:p>
    <w:p>
      <w:pPr>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80" w:lineRule="exact"/>
        <w:ind w:firstLine="616" w:firstLineChars="200"/>
        <w:rPr>
          <w:rFonts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坚持“大旅游”产业发展理念，以“特色</w:t>
      </w:r>
      <w:r>
        <w:rPr>
          <w:rFonts w:hint="eastAsia" w:ascii="黑体" w:hAnsi="黑体" w:eastAsia="黑体" w:cs="黑体"/>
          <w:b/>
          <w:bCs w:val="0"/>
          <w:color w:val="000000"/>
          <w:spacing w:val="-6"/>
          <w:sz w:val="32"/>
          <w:szCs w:val="32"/>
        </w:rPr>
        <w:t>·</w:t>
      </w:r>
      <w:r>
        <w:rPr>
          <w:rFonts w:hint="eastAsia" w:ascii="仿宋_GB2312" w:hAnsi="仿宋_GB2312" w:eastAsia="仿宋_GB2312" w:cs="仿宋_GB2312"/>
          <w:bCs/>
          <w:color w:val="000000"/>
          <w:spacing w:val="-6"/>
          <w:sz w:val="32"/>
          <w:szCs w:val="32"/>
        </w:rPr>
        <w:t>全域</w:t>
      </w:r>
      <w:r>
        <w:rPr>
          <w:rFonts w:hint="eastAsia" w:ascii="黑体" w:hAnsi="黑体" w:eastAsia="黑体" w:cs="黑体"/>
          <w:b/>
          <w:bCs w:val="0"/>
          <w:color w:val="000000"/>
          <w:spacing w:val="-6"/>
          <w:sz w:val="32"/>
          <w:szCs w:val="32"/>
        </w:rPr>
        <w:t>·</w:t>
      </w:r>
      <w:r>
        <w:rPr>
          <w:rFonts w:hint="eastAsia" w:ascii="仿宋_GB2312" w:hAnsi="仿宋_GB2312" w:eastAsia="仿宋_GB2312" w:cs="仿宋_GB2312"/>
          <w:bCs/>
          <w:color w:val="000000"/>
          <w:spacing w:val="-6"/>
          <w:sz w:val="32"/>
          <w:szCs w:val="32"/>
        </w:rPr>
        <w:t>融合”为路径，立足红色沃土、绿色乡土、稀世珍禽、造纸历史、古色民俗等资源优势，加快构筑具有市场竞争力的特色旅游产品体系，促进生态、文旅、有机农业等关联产业融合发展，持续推进</w:t>
      </w:r>
      <w:r>
        <w:rPr>
          <w:rFonts w:hint="eastAsia" w:ascii="仿宋_GB2312" w:hAnsi="仿宋_GB2312" w:eastAsia="仿宋_GB2312" w:cs="仿宋_GB2312"/>
          <w:spacing w:val="-6"/>
          <w:sz w:val="32"/>
          <w:szCs w:val="32"/>
        </w:rPr>
        <w:t>华阳景区、朱鹮梨园景区、蔡伦墓祠景区、金水大峡谷景区和金水银滩度假区</w:t>
      </w:r>
      <w:r>
        <w:rPr>
          <w:rFonts w:hint="eastAsia" w:ascii="仿宋_GB2312" w:hAnsi="仿宋_GB2312" w:eastAsia="仿宋_GB2312" w:cs="仿宋_GB2312"/>
          <w:bCs/>
          <w:color w:val="000000"/>
          <w:spacing w:val="-6"/>
          <w:sz w:val="32"/>
          <w:szCs w:val="32"/>
        </w:rPr>
        <w:t>等重点项目建设，加快打造</w:t>
      </w:r>
      <w:r>
        <w:rPr>
          <w:rFonts w:hint="eastAsia" w:ascii="仿宋_GB2312" w:hAnsi="仿宋_GB2312" w:eastAsia="仿宋_GB2312" w:cs="仿宋_GB2312"/>
          <w:spacing w:val="-6"/>
          <w:sz w:val="32"/>
          <w:szCs w:val="32"/>
        </w:rPr>
        <w:t>集生态休闲、康养度假、研学教育、文化体验等于一体的生态休闲度假旅游目的地，着力</w:t>
      </w:r>
      <w:r>
        <w:rPr>
          <w:rFonts w:hint="eastAsia" w:ascii="仿宋_GB2312" w:hAnsi="仿宋_GB2312" w:eastAsia="仿宋_GB2312" w:cs="仿宋_GB2312"/>
          <w:bCs/>
          <w:color w:val="000000"/>
          <w:spacing w:val="-6"/>
          <w:sz w:val="32"/>
          <w:szCs w:val="32"/>
        </w:rPr>
        <w:t>构建全域旅游高质量发展新格局。</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聚焦优势生态文化资源利用，着力提升全域旅游开发水平。</w:t>
      </w:r>
      <w:r>
        <w:rPr>
          <w:rFonts w:hint="eastAsia" w:ascii="仿宋_GB2312" w:hAnsi="仿宋_GB2312" w:eastAsia="仿宋_GB2312" w:cs="仿宋_GB2312"/>
          <w:spacing w:val="-6"/>
          <w:sz w:val="32"/>
          <w:szCs w:val="32"/>
        </w:rPr>
        <w:t>依托洋县优越的自然资源和丰富的文化积淀，以“1+5+3”生态文旅开发格局为指引，按照“北创建、中提升、南统筹、西整治、东开发”的思路，加快推进华阳景区5A创建工作，改造提升朱鹮梨园景区、蔡伦墓祠景区，积极推进蔡伦墓祠世界文化遗产和朱鹮世界自然遗产申报工作，统筹实施金沙湖创4A基础设施提升、金沙湖生态宜居养老养生、“印象鹮乡”水上节目等软硬件项目，积极推进谢村民居建筑群和智果寺藏经楼的修缮维护，加快民俗文旅产品开发，全面启动金水大峡谷景区和金水银滩度假区项目建设，加快构筑洋县全域旅游开发新格局，促进旅游产业扩容提质增效，不断发展壮大旅游业。</w:t>
      </w:r>
    </w:p>
    <w:p>
      <w:pPr>
        <w:spacing w:line="60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聚焦文化资源挖掘，丰富文旅融合产品。</w:t>
      </w:r>
      <w:r>
        <w:rPr>
          <w:rFonts w:hint="eastAsia" w:ascii="仿宋_GB2312" w:hAnsi="仿宋_GB2312" w:eastAsia="仿宋_GB2312" w:cs="仿宋_GB2312"/>
          <w:spacing w:val="-6"/>
          <w:sz w:val="32"/>
          <w:szCs w:val="32"/>
        </w:rPr>
        <w:t>以红色文化、汉文化、造纸文化、民俗文化和汉调桄桄等洋县非遗资源为核心依托，统筹实施“文化创意”、“博物馆经济”与“旅游导向开发”相结合的多轮驱动策略，加快打造红色研学旅游产品、文化旅游产品、绿色游憩观光旅游产品、特色度假产品、节庆旅游产品以及新型旅游产品等六大类多系列文旅深度融合产品。</w:t>
      </w:r>
    </w:p>
    <w:p>
      <w:pPr>
        <w:spacing w:line="60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聚焦旅游服务升级，打造游客集散服务体系。</w:t>
      </w:r>
      <w:r>
        <w:rPr>
          <w:rFonts w:hint="eastAsia" w:ascii="仿宋_GB2312" w:hAnsi="仿宋_GB2312" w:eastAsia="仿宋_GB2312" w:cs="仿宋_GB2312"/>
          <w:spacing w:val="-6"/>
          <w:sz w:val="32"/>
          <w:szCs w:val="32"/>
        </w:rPr>
        <w:t>坚持“用户思维”、“游客思维”，完善提升基础设施和功能性服务设施水平，同步推进餐饮、住宿等配套设施建设，提高游客体验品质。以客源市场需求为导向，引导发展业态档次和类型完善的旅游住宿设施体系，围绕华阳景区5A、金沙湖4A景区创建工作，加快引进高星级酒店、轻奢酒店；引导社会资本利用乡村老旧民居和公共建筑改造建设主题酒店、特色民宿等市场需求的住宿类型。支持国内知名旅行社在洋县开设分支机构，鼓励县域内中小旅行社与国际国内著名品牌合作，实行连锁经营。</w:t>
      </w:r>
      <w:r>
        <w:rPr>
          <w:rFonts w:hint="eastAsia" w:ascii="仿宋_GB2312" w:hAnsi="仿宋_GB2312" w:eastAsia="仿宋_GB2312" w:cs="仿宋_GB2312"/>
          <w:color w:val="000000"/>
          <w:spacing w:val="-6"/>
          <w:sz w:val="32"/>
          <w:szCs w:val="32"/>
        </w:rPr>
        <w:t>深入推进交通强国陕南交通旅游山水画卷试点工作，</w:t>
      </w:r>
      <w:r>
        <w:rPr>
          <w:rFonts w:hint="eastAsia" w:ascii="仿宋_GB2312" w:hAnsi="仿宋_GB2312" w:eastAsia="仿宋_GB2312" w:cs="仿宋_GB2312"/>
          <w:spacing w:val="-6"/>
          <w:sz w:val="32"/>
          <w:szCs w:val="32"/>
        </w:rPr>
        <w:t>加快旅游道路交通建设，提升完善旅游集散中心、旅游公共交通、自驾游驿站等配套基础设施，完善洋县高铁站、S230省道、汉江南岸沿江公路以及华阳景区等重要景区设置交通引导牌、服务提示牌和景区标识牌等标志设置，推进旅游交通设施无障碍建设与改造，实施乡村旅游“厕所革命”行动。以大数据等现代信息技术为依托，打造智慧旅游服务体系，构</w:t>
      </w:r>
      <w:r>
        <w:rPr>
          <w:rFonts w:hint="eastAsia" w:ascii="仿宋_GB2312" w:hAnsi="仿宋_GB2312" w:eastAsia="仿宋_GB2312" w:cs="仿宋_GB2312"/>
          <w:spacing w:val="-6"/>
          <w:sz w:val="32"/>
          <w:szCs w:val="32"/>
          <w:lang w:val="en-US" w:eastAsia="zh-CN"/>
        </w:rPr>
        <w:t>建</w:t>
      </w:r>
      <w:r>
        <w:rPr>
          <w:rFonts w:hint="eastAsia" w:ascii="仿宋_GB2312" w:hAnsi="仿宋_GB2312" w:eastAsia="仿宋_GB2312" w:cs="仿宋_GB2312"/>
          <w:spacing w:val="-6"/>
          <w:sz w:val="32"/>
          <w:szCs w:val="32"/>
        </w:rPr>
        <w:t>旅游公共服务体系和大数据中心，加快打造华阳景区、中营村等一批智慧旅游景区和智慧旅游乡村，推动生态旅游服务智能化提升。</w:t>
      </w:r>
    </w:p>
    <w:p>
      <w:pPr>
        <w:pStyle w:val="2"/>
      </w:pPr>
    </w:p>
    <w:tbl>
      <w:tblPr>
        <w:tblStyle w:val="19"/>
        <w:tblpPr w:leftFromText="180" w:rightFromText="180" w:vertAnchor="text" w:horzAnchor="margin" w:tblpY="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76" w:type="dxa"/>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专栏5-3：洋县六大类旅游产品发展导引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9076" w:type="dxa"/>
          </w:tcPr>
          <w:p>
            <w:pPr>
              <w:spacing w:line="420" w:lineRule="exact"/>
              <w:ind w:firstLine="420" w:firstLineChars="200"/>
              <w:rPr>
                <w:rFonts w:ascii="宋体" w:hAnsi="宋体" w:eastAsia="宋体" w:cs="宋体"/>
                <w:szCs w:val="21"/>
              </w:rPr>
            </w:pPr>
            <w:r>
              <w:rPr>
                <w:rFonts w:hint="eastAsia" w:ascii="宋体" w:hAnsi="宋体" w:eastAsia="宋体" w:cs="宋体"/>
                <w:szCs w:val="21"/>
              </w:rPr>
              <w:t>红色研学旅游产品。以红二十五军司令部旧址、华阳区革命委员会旧址、华阳游击队旧址、张富清旧居等红色遗址为依托，争取省市有关部门支持，建设干部培训基地，统筹布局军训营地、军事博览园等爱国主义教育基地，策划推出红色热土—文化体验游、红耀洋县—党建教育游、红色足迹—乡村振兴游、红色印记—主题研学游等具有鲜明特色的红色旅游产品。</w:t>
            </w:r>
          </w:p>
          <w:p>
            <w:pPr>
              <w:spacing w:line="420" w:lineRule="exact"/>
              <w:ind w:firstLine="420" w:firstLineChars="200"/>
              <w:rPr>
                <w:rFonts w:ascii="宋体" w:hAnsi="宋体" w:eastAsia="宋体" w:cs="宋体"/>
                <w:szCs w:val="21"/>
              </w:rPr>
            </w:pPr>
            <w:r>
              <w:rPr>
                <w:rFonts w:hint="eastAsia" w:ascii="宋体" w:hAnsi="宋体" w:eastAsia="宋体" w:cs="宋体"/>
                <w:szCs w:val="21"/>
              </w:rPr>
              <w:t>文化旅游产品。深度挖掘蔡伦纸文化、谢村黄酒文化的内涵与物质表现形式，以蔡伦造纸博物馆、蔡伦墓祠以及谢村民居等为依托，综合采取现有场馆提升改造、展品增设、纸品创意工作室导入、非遗场馆导入、中国书法家协会进驻、造纸科技会展中心建设、人工智能高科技手段模拟与仿真等多种方式，大力开发造纸、酿酒、洋县社火等沉浸式、体验性项目，着力构筑以文化为主题，融合博物馆、文化、旅游等多业态融合发展的文化旅游产品。</w:t>
            </w:r>
          </w:p>
          <w:p>
            <w:pPr>
              <w:spacing w:line="420" w:lineRule="exact"/>
              <w:ind w:firstLine="420" w:firstLineChars="200"/>
              <w:rPr>
                <w:rFonts w:ascii="宋体" w:hAnsi="宋体" w:eastAsia="宋体" w:cs="宋体"/>
                <w:szCs w:val="21"/>
              </w:rPr>
            </w:pPr>
            <w:r>
              <w:rPr>
                <w:rFonts w:hint="eastAsia" w:ascii="宋体" w:hAnsi="宋体" w:eastAsia="宋体" w:cs="宋体"/>
                <w:szCs w:val="21"/>
              </w:rPr>
              <w:t>绿色游憩观光旅游产品。立足贴近西安、成都的区位优势，以华阳景区、朱鹮梨园景区、谢村民居、智果寺以及龙亭田园综合体等为依托，大力发展朱鹮及秦岭四宝观赏、农事体验、特色餐饮、民俗展演等观光游憩型旅游产品。</w:t>
            </w:r>
          </w:p>
          <w:p>
            <w:pPr>
              <w:spacing w:line="420" w:lineRule="exact"/>
              <w:ind w:firstLine="420" w:firstLineChars="200"/>
              <w:rPr>
                <w:rFonts w:ascii="宋体" w:hAnsi="宋体" w:eastAsia="宋体" w:cs="宋体"/>
                <w:szCs w:val="21"/>
              </w:rPr>
            </w:pPr>
            <w:r>
              <w:rPr>
                <w:rFonts w:hint="eastAsia" w:ascii="宋体" w:hAnsi="宋体" w:eastAsia="宋体" w:cs="宋体"/>
                <w:szCs w:val="21"/>
              </w:rPr>
              <w:t>特色度假产品。顺应旅游产业向休闲度假并重转变的大趋势，依托华阳景区、黄金峡水利风景区、金水大峡谷景区等优势资源，开发轻奢酒店、特色民宿、自驾车房车营地、户外运动等休闲度假产品，</w:t>
            </w:r>
            <w:bookmarkStart w:id="127" w:name="_Hlk116852219"/>
            <w:r>
              <w:rPr>
                <w:rFonts w:hint="eastAsia" w:ascii="宋体" w:hAnsi="宋体" w:eastAsia="宋体" w:cs="宋体"/>
                <w:szCs w:val="21"/>
              </w:rPr>
              <w:t>发展休闲度假、养生养老</w:t>
            </w:r>
            <w:bookmarkEnd w:id="127"/>
            <w:r>
              <w:rPr>
                <w:rFonts w:hint="eastAsia" w:ascii="宋体" w:hAnsi="宋体" w:eastAsia="宋体" w:cs="宋体"/>
                <w:szCs w:val="21"/>
              </w:rPr>
              <w:t>等业态，引导和支持社会资本开发民众参与度高、受益面广的休闲旅游度假产品。</w:t>
            </w:r>
          </w:p>
          <w:p>
            <w:pPr>
              <w:spacing w:line="400" w:lineRule="exact"/>
              <w:ind w:firstLine="420" w:firstLineChars="200"/>
              <w:rPr>
                <w:rFonts w:ascii="宋体" w:hAnsi="宋体" w:eastAsia="宋体" w:cs="宋体"/>
                <w:szCs w:val="21"/>
              </w:rPr>
            </w:pPr>
            <w:r>
              <w:rPr>
                <w:rFonts w:hint="eastAsia" w:ascii="宋体" w:hAnsi="宋体" w:eastAsia="宋体" w:cs="宋体"/>
                <w:szCs w:val="21"/>
              </w:rPr>
              <w:t>节庆旅游产品。高质量举办节庆活动，强化节庆活动营销，做大做强秦岭闹鱼节、金沙湖龙舟节等文化旅游节庆活动。引导镇村两级举办梨果采摘节、油菜花海节、农民丰收节等特色鲜明的区域性品牌文化节庆活动，策划开发秦岭云顶国际音乐节等系列节庆活动，打造特色化文化旅游吸引物，打响节庆文化旅游品牌。</w:t>
            </w:r>
          </w:p>
          <w:p>
            <w:pPr>
              <w:spacing w:line="400" w:lineRule="exact"/>
              <w:ind w:firstLine="420" w:firstLineChars="200"/>
              <w:rPr>
                <w:rFonts w:ascii="仿宋" w:hAnsi="仿宋" w:eastAsia="仿宋" w:cs="仿宋"/>
                <w:sz w:val="32"/>
                <w:szCs w:val="32"/>
              </w:rPr>
            </w:pPr>
            <w:r>
              <w:rPr>
                <w:rFonts w:hint="eastAsia" w:ascii="宋体" w:hAnsi="宋体" w:eastAsia="宋体" w:cs="宋体"/>
                <w:szCs w:val="21"/>
              </w:rPr>
              <w:t>新型旅游产品。扩大中国秦岭华阳国际马拉松赛的影响力，开发秦岭新能源汽车越野拉力赛、山地越野自行车赛等体育赛事，培育以品牌赛事为特色的旅游产品。依托夏季宜人的气候资源，提升朱鹮国际论坛的影响力，主动对接全国性学术团体、行业协会及区内高校，大力发展会议、奖励旅游、商务旅游等会议及商务旅游产品。</w:t>
            </w:r>
          </w:p>
        </w:tc>
      </w:tr>
    </w:tbl>
    <w:p>
      <w:pPr>
        <w:overflowPunct w:val="0"/>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聚焦旅游品牌塑造，提升洋县旅游产业竞争力。</w:t>
      </w:r>
      <w:r>
        <w:rPr>
          <w:rFonts w:hint="eastAsia" w:ascii="仿宋_GB2312" w:hAnsi="仿宋_GB2312" w:eastAsia="仿宋_GB2312" w:cs="仿宋_GB2312"/>
          <w:spacing w:val="-6"/>
          <w:sz w:val="32"/>
          <w:szCs w:val="32"/>
        </w:rPr>
        <w:t>依托洋县深厚的文化底蕴，加快推进蔡伦墓祠世界文化遗产和朱鹮栖息地世界自然遗产的申报工作。联动周边区域，借鉴日本熊野古道经验，启动傥骆古道申遗前期工作。促进有机产业与旅游产业品牌融合，开发有机农业农事体验、有机农业观光、有机特色餐饮、有机特色商品等旅游产品，大力发展“有机+”特色旅游品牌。结合旅游资源分布，优化设计旅游线路，重点打造红色体验游、“东方红宝石”朱鹮生态观赏游、古道遗产游、黄金峡观光游、民俗文化游、造纸研学游等六条县内精品旅游线路。积极联动黑河国家森林公园、佛坪熊猫谷等景区，主动融入“秦岭四宝”寻踪之旅主题旅游线路，协同开发打造穿越秦岭环线户外旅游线路，不断增强洋县旅游产业的影响力和辐射力。</w:t>
      </w:r>
    </w:p>
    <w:p>
      <w:pPr>
        <w:overflowPunct w:val="0"/>
        <w:spacing w:afterLines="50" w:line="58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聚焦旅游市场开拓，提升洋县特色旅游目的地影响力</w:t>
      </w:r>
      <w:r>
        <w:rPr>
          <w:rFonts w:hint="eastAsia" w:ascii="仿宋_GB2312" w:hAnsi="仿宋_GB2312" w:eastAsia="仿宋_GB2312" w:cs="仿宋_GB2312"/>
          <w:bCs/>
          <w:color w:val="000000"/>
          <w:sz w:val="32"/>
          <w:szCs w:val="32"/>
        </w:rPr>
        <w:t>。加快推进系统旅游形象设计，深入开展朱鹮、蔡伦等</w:t>
      </w:r>
      <w:r>
        <w:rPr>
          <w:rFonts w:hint="eastAsia" w:ascii="仿宋_GB2312" w:hAnsi="仿宋_GB2312" w:eastAsia="仿宋_GB2312" w:cs="仿宋_GB2312"/>
          <w:sz w:val="32"/>
          <w:szCs w:val="32"/>
        </w:rPr>
        <w:t>核心旅游资源以及秦岭腹地、中医药、汉文化</w:t>
      </w:r>
      <w:r>
        <w:rPr>
          <w:rFonts w:hint="eastAsia" w:ascii="仿宋_GB2312" w:hAnsi="仿宋_GB2312" w:eastAsia="仿宋_GB2312" w:cs="仿宋_GB2312"/>
          <w:bCs/>
          <w:color w:val="000000"/>
          <w:sz w:val="32"/>
          <w:szCs w:val="32"/>
        </w:rPr>
        <w:t>等特色文化研究，提取地域文化符号，创造彰显洋县旅游业的总体形象和品牌。精准开发拓展旅游客源市场，巩固以西安、汉中及洋县县域为核心的观光游览市场，开拓促进成都等潜力市场，积极拓展西北、华北、华东等远程市场。完善旅游宣传推广体系，整合旅游、宣传、文化、新闻、广电等资源，开展统一的旅游宣传促销，构建现代旅游营销体系。加强营销推介，参加陕西省及西北、西南及华北地区影响力的旅游交易会、旅游推介活动，扩大线下影响力。大力推进全媒体营销，强化与携程、去哪儿等著名旅游网站合作，依托抖音等新媒体开展事件推广、话题引爆，增加洋县旅游品牌的曝光率。</w:t>
      </w:r>
    </w:p>
    <w:tbl>
      <w:tblPr>
        <w:tblStyle w:val="19"/>
        <w:tblpPr w:leftFromText="180" w:rightFromText="180" w:vertAnchor="text" w:horzAnchor="margin" w:tblpY="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9046" w:type="dxa"/>
          </w:tcPr>
          <w:p>
            <w:pPr>
              <w:spacing w:beforeLines="50" w:line="500" w:lineRule="exact"/>
              <w:jc w:val="center"/>
              <w:rPr>
                <w:rFonts w:ascii="仿宋" w:hAnsi="仿宋" w:eastAsia="仿宋" w:cs="仿宋"/>
                <w:sz w:val="32"/>
                <w:szCs w:val="32"/>
              </w:rPr>
            </w:pPr>
            <w:r>
              <w:rPr>
                <w:rFonts w:hint="eastAsia" w:ascii="宋体" w:hAnsi="宋体" w:eastAsia="宋体" w:cs="宋体"/>
                <w:b/>
                <w:bCs/>
                <w:sz w:val="32"/>
                <w:szCs w:val="32"/>
              </w:rPr>
              <w:t>专栏5-4：洋县精品旅游线路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9046" w:type="dxa"/>
            <w:vAlign w:val="center"/>
          </w:tcPr>
          <w:p>
            <w:pPr>
              <w:spacing w:line="440" w:lineRule="exact"/>
              <w:ind w:firstLine="420" w:firstLineChars="200"/>
              <w:rPr>
                <w:rFonts w:ascii="宋体" w:hAnsi="宋体" w:eastAsia="宋体" w:cs="宋体"/>
                <w:szCs w:val="21"/>
              </w:rPr>
            </w:pPr>
            <w:r>
              <w:rPr>
                <w:rFonts w:hint="eastAsia" w:ascii="宋体" w:hAnsi="宋体" w:eastAsia="宋体" w:cs="宋体"/>
                <w:szCs w:val="21"/>
              </w:rPr>
              <w:t>红色研学旅游线路：华阳镇红石窑村红二十五军司令部旧址—红二十五军石塔河伏击战遗址——马畅镇双庙村张富清故居——洋县革命烈士纪念碑。</w:t>
            </w:r>
          </w:p>
          <w:p>
            <w:pPr>
              <w:spacing w:line="440" w:lineRule="exact"/>
              <w:ind w:firstLine="420" w:firstLineChars="200"/>
              <w:rPr>
                <w:rFonts w:ascii="宋体" w:hAnsi="宋体" w:eastAsia="宋体" w:cs="宋体"/>
                <w:szCs w:val="21"/>
              </w:rPr>
            </w:pPr>
            <w:r>
              <w:rPr>
                <w:rFonts w:hint="eastAsia" w:ascii="宋体" w:hAnsi="宋体" w:eastAsia="宋体" w:cs="宋体"/>
                <w:szCs w:val="21"/>
              </w:rPr>
              <w:t>傥骆古道遗产线路：一城一镇（洋州古城、华阳古镇）——三关十驿（四郎古关、八里古关、茅坪古关；草坝驿、白石驿、黑峡驿、牛岭驿、小华阳驿、县坝驿、苍耳驿、九池驿、龙亭驿、长溪驿）旅游古道线路。</w:t>
            </w:r>
          </w:p>
          <w:p>
            <w:pPr>
              <w:spacing w:line="440" w:lineRule="exact"/>
              <w:ind w:firstLine="420" w:firstLineChars="200"/>
              <w:rPr>
                <w:rFonts w:ascii="宋体" w:hAnsi="宋体" w:eastAsia="宋体" w:cs="宋体"/>
                <w:szCs w:val="21"/>
              </w:rPr>
            </w:pPr>
            <w:r>
              <w:rPr>
                <w:rFonts w:hint="eastAsia" w:ascii="宋体" w:hAnsi="宋体" w:eastAsia="宋体" w:cs="宋体"/>
                <w:szCs w:val="21"/>
              </w:rPr>
              <w:t>朱鹮生态观赏游线路：县城—朱鹮生态园—八里关—长青华阳—县城</w:t>
            </w:r>
            <w:bookmarkStart w:id="128" w:name="_Hlk132659904"/>
            <w:r>
              <w:rPr>
                <w:rFonts w:hint="eastAsia" w:ascii="宋体" w:hAnsi="宋体" w:eastAsia="宋体" w:cs="宋体"/>
                <w:szCs w:val="21"/>
              </w:rPr>
              <w:t>。</w:t>
            </w:r>
          </w:p>
          <w:p>
            <w:pPr>
              <w:spacing w:line="440" w:lineRule="exact"/>
              <w:ind w:firstLine="420" w:firstLineChars="200"/>
              <w:rPr>
                <w:rFonts w:ascii="宋体" w:hAnsi="宋体" w:eastAsia="宋体" w:cs="宋体"/>
                <w:szCs w:val="21"/>
              </w:rPr>
            </w:pPr>
            <w:r>
              <w:rPr>
                <w:rFonts w:hint="eastAsia" w:ascii="宋体" w:hAnsi="宋体" w:eastAsia="宋体" w:cs="宋体"/>
                <w:szCs w:val="21"/>
              </w:rPr>
              <w:t>黄金峡观光游线路：县城—黄金峡镇一金水镇一县城</w:t>
            </w:r>
          </w:p>
          <w:bookmarkEnd w:id="128"/>
          <w:p>
            <w:pPr>
              <w:spacing w:line="440" w:lineRule="exact"/>
              <w:ind w:firstLine="420" w:firstLineChars="200"/>
              <w:rPr>
                <w:rFonts w:ascii="宋体" w:hAnsi="宋体" w:eastAsia="宋体" w:cs="宋体"/>
                <w:szCs w:val="21"/>
              </w:rPr>
            </w:pPr>
            <w:r>
              <w:rPr>
                <w:rFonts w:hint="eastAsia" w:ascii="宋体" w:hAnsi="宋体" w:eastAsia="宋体" w:cs="宋体"/>
                <w:szCs w:val="21"/>
              </w:rPr>
              <w:t>民俗文化游：县城—草坝村—谢村民居—戚氏办汉家乐—县城。</w:t>
            </w:r>
          </w:p>
          <w:p>
            <w:pPr>
              <w:spacing w:line="440" w:lineRule="exact"/>
              <w:ind w:firstLine="420" w:firstLineChars="200"/>
              <w:rPr>
                <w:rFonts w:ascii="仿宋" w:hAnsi="仿宋" w:eastAsia="仿宋" w:cs="仿宋"/>
                <w:sz w:val="32"/>
                <w:szCs w:val="32"/>
              </w:rPr>
            </w:pPr>
            <w:r>
              <w:rPr>
                <w:rFonts w:hint="eastAsia" w:ascii="宋体" w:hAnsi="宋体" w:eastAsia="宋体" w:cs="宋体"/>
                <w:szCs w:val="21"/>
              </w:rPr>
              <w:t>造纸研学游线路：县城—蔡伦墓—八里关—长青华阳—县城。</w:t>
            </w:r>
          </w:p>
        </w:tc>
      </w:tr>
    </w:tbl>
    <w:p>
      <w:pPr>
        <w:spacing w:beforeLines="50" w:line="58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聚焦龙头旅游项目引领，带动旅游产业提速发展。</w:t>
      </w:r>
      <w:r>
        <w:rPr>
          <w:rFonts w:hint="eastAsia" w:ascii="仿宋_GB2312" w:hAnsi="仿宋_GB2312" w:eastAsia="仿宋_GB2312" w:cs="仿宋_GB2312"/>
          <w:bCs/>
          <w:color w:val="000000"/>
          <w:sz w:val="32"/>
          <w:szCs w:val="32"/>
        </w:rPr>
        <w:t>实施“龙头带动+全域突破”发展战略，主动对接大型旅游地产开发商和旅游公司，争取引入战略投资者对华阳古镇、蔡伦墓祠纸文化体验区、金水大峡谷、</w:t>
      </w:r>
      <w:bookmarkStart w:id="129" w:name="_Hlk132645976"/>
      <w:r>
        <w:rPr>
          <w:rFonts w:hint="eastAsia" w:ascii="仿宋_GB2312" w:hAnsi="仿宋_GB2312" w:eastAsia="仿宋_GB2312" w:cs="仿宋_GB2312"/>
          <w:bCs/>
          <w:color w:val="000000"/>
          <w:sz w:val="32"/>
          <w:szCs w:val="32"/>
        </w:rPr>
        <w:t>金沙湖景区</w:t>
      </w:r>
      <w:bookmarkEnd w:id="129"/>
      <w:r>
        <w:rPr>
          <w:rFonts w:hint="eastAsia" w:ascii="仿宋_GB2312" w:hAnsi="仿宋_GB2312" w:eastAsia="仿宋_GB2312" w:cs="仿宋_GB2312"/>
          <w:bCs/>
          <w:color w:val="000000"/>
          <w:sz w:val="32"/>
          <w:szCs w:val="32"/>
        </w:rPr>
        <w:t>、朱鹮养心谷等项目进行改造提升和开发建设，形成洋县特色文旅引爆点。鼓励各种经济成分参与洋县文旅产业的开发与运营，支持有实力的国企、国有林场以资本为纽带，以项目投资和市场经营合作为引导，参与重大旅游项目开发，打造县域综合性文旅企业集团。依托龙亭镇柳山村、</w:t>
      </w:r>
      <w:r>
        <w:rPr>
          <w:rFonts w:hint="eastAsia" w:ascii="仿宋_GB2312" w:hAnsi="仿宋_GB2312" w:eastAsia="仿宋_GB2312" w:cs="仿宋_GB2312"/>
          <w:color w:val="000000"/>
          <w:sz w:val="32"/>
          <w:szCs w:val="32"/>
        </w:rPr>
        <w:t>磨子桥镇金土村、华阳镇红石窑村</w:t>
      </w:r>
      <w:r>
        <w:rPr>
          <w:rFonts w:hint="eastAsia" w:ascii="仿宋_GB2312" w:hAnsi="仿宋_GB2312" w:eastAsia="仿宋_GB2312" w:cs="仿宋_GB2312"/>
          <w:bCs/>
          <w:color w:val="000000"/>
          <w:sz w:val="32"/>
          <w:szCs w:val="32"/>
        </w:rPr>
        <w:t>等特色旅游村、美丽宜居示范村，培优育强一大批乡村旅游市场的经营主体，带动乡村旅游提速发展。</w:t>
      </w:r>
    </w:p>
    <w:p>
      <w:pPr>
        <w:pStyle w:val="2"/>
      </w:pPr>
    </w:p>
    <w:tbl>
      <w:tblPr>
        <w:tblStyle w:val="19"/>
        <w:tblpPr w:leftFromText="180" w:rightFromText="180" w:vertAnchor="text" w:horzAnchor="page" w:tblpX="1575"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46" w:type="dxa"/>
            <w:vAlign w:val="center"/>
          </w:tcPr>
          <w:p>
            <w:pPr>
              <w:spacing w:line="400" w:lineRule="exact"/>
              <w:jc w:val="center"/>
              <w:rPr>
                <w:rFonts w:ascii="仿宋" w:hAnsi="仿宋" w:eastAsia="仿宋" w:cs="仿宋"/>
                <w:sz w:val="32"/>
                <w:szCs w:val="32"/>
              </w:rPr>
            </w:pPr>
            <w:r>
              <w:rPr>
                <w:rFonts w:hint="eastAsia" w:ascii="宋体" w:hAnsi="宋体" w:eastAsia="宋体" w:cs="宋体"/>
                <w:b/>
                <w:bCs/>
                <w:sz w:val="32"/>
                <w:szCs w:val="32"/>
              </w:rPr>
              <w:t>专栏5-5：培育特色鲜明的洋县旅游品牌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trPr>
        <w:tc>
          <w:tcPr>
            <w:tcW w:w="9046" w:type="dxa"/>
            <w:vAlign w:val="center"/>
          </w:tcPr>
          <w:p>
            <w:pPr>
              <w:spacing w:line="400" w:lineRule="exact"/>
              <w:ind w:firstLine="422" w:firstLineChars="200"/>
              <w:rPr>
                <w:rFonts w:ascii="宋体" w:hAnsi="宋体" w:eastAsia="宋体" w:cs="宋体"/>
                <w:szCs w:val="21"/>
              </w:rPr>
            </w:pPr>
            <w:r>
              <w:rPr>
                <w:rFonts w:hint="eastAsia" w:ascii="宋体" w:hAnsi="宋体" w:eastAsia="宋体" w:cs="宋体"/>
                <w:b/>
                <w:bCs/>
                <w:szCs w:val="21"/>
              </w:rPr>
              <w:t>“印象鹮乡”主题旅游节</w:t>
            </w:r>
            <w:r>
              <w:rPr>
                <w:rFonts w:hint="eastAsia" w:ascii="宋体" w:hAnsi="宋体" w:eastAsia="宋体" w:cs="宋体"/>
                <w:szCs w:val="21"/>
              </w:rPr>
              <w:t>：以中部朱鹮梨园景观带为基础，将观鸟与赏花等活动相结合，将生态体验、度假休闲、科普研学等功能相结合，围绕朱鹮产业发展和文化建设需求，提供动画、动漫、电影、商标等文化产品设计及知识产权保护等服务。深度开发主题式度假区，加强周边酒店、消费休闲街等配套设施的建设。</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华阳古镇综合旅游休闲区</w:t>
            </w:r>
            <w:r>
              <w:rPr>
                <w:rFonts w:hint="eastAsia" w:ascii="宋体" w:hAnsi="宋体" w:eastAsia="宋体" w:cs="宋体"/>
                <w:szCs w:val="21"/>
              </w:rPr>
              <w:t>：以历史悠久的华阳古镇和被称为“生物资源库”的长青自然保护区为核心，加快游客服务中心，夜游购物街、风俗体验区建设，定位为集山水风光、人文古镇、生态休闲、珍稀动植物观赏、科考探险、红色旅游等为一体的综合型旅游目的地。</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生态康养特色小镇</w:t>
            </w:r>
            <w:r>
              <w:rPr>
                <w:rFonts w:hint="eastAsia" w:ascii="宋体" w:hAnsi="宋体" w:eastAsia="宋体" w:cs="宋体"/>
                <w:szCs w:val="21"/>
              </w:rPr>
              <w:t>：支持社会资本在中医药资源集中度高的乡镇建设中医药文化街、中药材观赏园、中医药体验馆、养生度假村，围绕“朱鹮之乡，生态洋县、蔡伦文化、有机生态、华阳长青”等核心价值品牌，进行差异化品牌定位，打造区域分布各异的特色主题康养小镇，串珠成链，着力塑造特色鲜明的旅游目的地形象</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蔡伦墓祠纸文化体验区</w:t>
            </w:r>
            <w:r>
              <w:rPr>
                <w:rFonts w:hint="eastAsia" w:ascii="宋体" w:hAnsi="宋体" w:eastAsia="宋体" w:cs="宋体"/>
                <w:szCs w:val="21"/>
              </w:rPr>
              <w:t>：蔡伦墓祠定位为“造纸之乡”、“纸文化圣地”，主打造纸文化体验旅游目的地和国家级研学基地。建设“纸文化”博物馆，围绕VR体验中心、全景电影、网络直播等文化科技新业态，开发文化科技融合衍生产品和服务。</w:t>
            </w:r>
          </w:p>
        </w:tc>
      </w:tr>
    </w:tbl>
    <w:p>
      <w:pPr>
        <w:keepNext/>
        <w:keepLines/>
        <w:spacing w:line="60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60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以创建国家级全域旅游示范区为导向，争取建设1个5A级景区(华阳景区),2个4A级景区(金沙湖景区、蔡伦墓祠景区),1个国家农业公园或国家级田园综合体(龙亭田园综合体)，4个国家级或省级旅游特色小镇（华阳镇、龙亭镇、</w:t>
      </w:r>
      <w:r>
        <w:rPr>
          <w:rFonts w:hint="eastAsia" w:ascii="仿宋_GB2312" w:hAnsi="仿宋_GB2312" w:eastAsia="仿宋_GB2312" w:cs="仿宋_GB2312"/>
          <w:color w:val="000000" w:themeColor="text1"/>
          <w:spacing w:val="-11"/>
          <w:sz w:val="32"/>
          <w:szCs w:val="32"/>
        </w:rPr>
        <w:t>纸坊街道、</w:t>
      </w:r>
      <w:r>
        <w:rPr>
          <w:rFonts w:hint="eastAsia" w:ascii="仿宋_GB2312" w:hAnsi="仿宋_GB2312" w:eastAsia="仿宋_GB2312" w:cs="仿宋_GB2312"/>
          <w:spacing w:val="-11"/>
          <w:sz w:val="32"/>
          <w:szCs w:val="32"/>
        </w:rPr>
        <w:t>磨子桥镇）。依托蔡伦纸文化、黄酒文化、有机文化、朱鹮文化等争取建设3个国家研学旅游示范基地，争取建成国家级全域旅游示范区。</w:t>
      </w:r>
    </w:p>
    <w:bookmarkEnd w:id="125"/>
    <w:p>
      <w:pPr>
        <w:pStyle w:val="4"/>
        <w:spacing w:before="0" w:beforeAutospacing="0" w:after="0" w:afterAutospacing="0" w:line="600" w:lineRule="exact"/>
        <w:ind w:firstLine="616" w:firstLineChars="200"/>
        <w:rPr>
          <w:rFonts w:ascii="楷体_GB2312" w:hAnsi="楷体_GB2312" w:eastAsia="楷体_GB2312" w:cs="楷体_GB2312"/>
          <w:b w:val="0"/>
          <w:spacing w:val="-6"/>
          <w:sz w:val="32"/>
          <w:szCs w:val="32"/>
        </w:rPr>
      </w:pPr>
      <w:bookmarkStart w:id="130" w:name="_Toc133539472"/>
      <w:bookmarkStart w:id="131" w:name="_Toc243"/>
      <w:r>
        <w:rPr>
          <w:rFonts w:hint="eastAsia" w:ascii="楷体_GB2312" w:hAnsi="楷体_GB2312" w:eastAsia="楷体_GB2312" w:cs="楷体_GB2312"/>
          <w:b w:val="0"/>
          <w:spacing w:val="-6"/>
          <w:sz w:val="32"/>
          <w:szCs w:val="32"/>
        </w:rPr>
        <w:t>（四）</w:t>
      </w:r>
      <w:bookmarkStart w:id="132" w:name="_Hlk136965230"/>
      <w:bookmarkStart w:id="133" w:name="_Hlk152082724"/>
      <w:r>
        <w:rPr>
          <w:rFonts w:hint="eastAsia" w:ascii="楷体_GB2312" w:hAnsi="楷体_GB2312" w:eastAsia="楷体_GB2312" w:cs="楷体_GB2312"/>
          <w:b w:val="0"/>
          <w:spacing w:val="-6"/>
          <w:sz w:val="32"/>
          <w:szCs w:val="32"/>
        </w:rPr>
        <w:t>工业绿色化发展示范工程</w:t>
      </w:r>
      <w:bookmarkEnd w:id="130"/>
      <w:bookmarkEnd w:id="131"/>
      <w:bookmarkEnd w:id="132"/>
    </w:p>
    <w:p>
      <w:pPr>
        <w:keepNext/>
        <w:keepLines/>
        <w:spacing w:line="60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以工业高质量发展和绿色发展为导向，加快发展现代材料产业，大力引育环境敏感型产业，积极发展轻量乡村工业，夯实产业发展平台载体，全面提升产业生态化发展能力水平。</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19"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b/>
          <w:bCs/>
          <w:spacing w:val="-6"/>
          <w:sz w:val="32"/>
          <w:szCs w:val="32"/>
        </w:rPr>
        <w:t>加快发展现代材料产业</w:t>
      </w:r>
      <w:r>
        <w:rPr>
          <w:rFonts w:hint="eastAsia" w:ascii="仿宋_GB2312" w:hAnsi="仿宋_GB2312" w:eastAsia="仿宋_GB2312" w:cs="仿宋_GB2312"/>
          <w:spacing w:val="-6"/>
          <w:sz w:val="32"/>
          <w:szCs w:val="32"/>
        </w:rPr>
        <w:t>。依托钒钛磁铁矿、石灰石、石英砂等矿产资源，以有色材料产业</w:t>
      </w:r>
      <w:r>
        <w:rPr>
          <w:rFonts w:hint="eastAsia" w:ascii="仿宋_GB2312" w:hAnsi="仿宋_GB2312" w:eastAsia="仿宋_GB2312" w:cs="仿宋_GB2312"/>
          <w:b/>
          <w:spacing w:val="-6"/>
          <w:sz w:val="32"/>
          <w:szCs w:val="32"/>
        </w:rPr>
        <w:t>高端化、</w:t>
      </w:r>
      <w:r>
        <w:rPr>
          <w:rFonts w:hint="eastAsia" w:ascii="仿宋_GB2312" w:hAnsi="仿宋_GB2312" w:eastAsia="仿宋_GB2312" w:cs="仿宋_GB2312"/>
          <w:b/>
          <w:bCs/>
          <w:spacing w:val="-6"/>
          <w:sz w:val="32"/>
          <w:szCs w:val="32"/>
        </w:rPr>
        <w:t>智能化、绿色化</w:t>
      </w:r>
      <w:r>
        <w:rPr>
          <w:rFonts w:hint="eastAsia" w:ascii="仿宋_GB2312" w:hAnsi="仿宋_GB2312" w:eastAsia="仿宋_GB2312" w:cs="仿宋_GB2312"/>
          <w:b/>
          <w:spacing w:val="-6"/>
          <w:sz w:val="32"/>
          <w:szCs w:val="32"/>
        </w:rPr>
        <w:t>为方向，</w:t>
      </w:r>
      <w:r>
        <w:rPr>
          <w:rFonts w:hint="eastAsia" w:ascii="仿宋_GB2312" w:hAnsi="仿宋_GB2312" w:eastAsia="仿宋_GB2312" w:cs="仿宋_GB2312"/>
          <w:spacing w:val="-6"/>
          <w:sz w:val="32"/>
          <w:szCs w:val="32"/>
        </w:rPr>
        <w:t>重点发展有色金属、新型建材、化工新材料、生物基材、电子信息材料、3D打印材料等现代材料产业。创新企业发展环境，在能源电力价格、政策、劳动力、土地等方面提供更为优惠的政策，带动下游关联企业向洋县集聚，逐步培育壮大材料产业集群。</w:t>
      </w:r>
      <w:r>
        <w:rPr>
          <w:rFonts w:hint="eastAsia" w:ascii="仿宋_GB2312" w:hAnsi="仿宋_GB2312" w:eastAsia="仿宋_GB2312" w:cs="仿宋_GB2312"/>
          <w:color w:val="000000"/>
          <w:spacing w:val="-6"/>
          <w:sz w:val="32"/>
          <w:szCs w:val="32"/>
        </w:rPr>
        <w:t>鼓励企业实施“引智引力”“院企联姻”战略，加强与中南大学、广州有色金属研究院等高校及科研院所建立长期战略合作伙伴关系，支持企业</w:t>
      </w:r>
      <w:r>
        <w:rPr>
          <w:rFonts w:hint="eastAsia" w:ascii="仿宋_GB2312" w:hAnsi="仿宋_GB2312" w:eastAsia="仿宋_GB2312" w:cs="仿宋_GB2312"/>
          <w:spacing w:val="-6"/>
          <w:sz w:val="32"/>
          <w:szCs w:val="32"/>
        </w:rPr>
        <w:t>加快3D打印材料、钛合金医疗器材器械研发技术攻关，尽快形成高端产品生产产能。</w:t>
      </w:r>
      <w:r>
        <w:rPr>
          <w:rFonts w:hint="eastAsia" w:ascii="仿宋_GB2312" w:hAnsi="仿宋_GB2312" w:eastAsia="仿宋_GB2312" w:cs="仿宋_GB2312"/>
          <w:color w:val="000000"/>
          <w:spacing w:val="-6"/>
          <w:sz w:val="32"/>
          <w:szCs w:val="32"/>
        </w:rPr>
        <w:t>引导企业运用技术革新、科技创新等手段进一步提高资源利用效率，加快实施低品位矿产及难分选矿产综合利用工程，强化钒、钛等伴生元素提取利用，推进尾矿伴生金属的高效提取利用，减少固体废弃物排放，实现绿色发展。</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color w:val="000000"/>
          <w:spacing w:val="-6"/>
          <w:sz w:val="32"/>
          <w:szCs w:val="32"/>
        </w:rPr>
        <w:t>加快引育环境敏感型产业。</w:t>
      </w:r>
      <w:r>
        <w:rPr>
          <w:rFonts w:hint="eastAsia" w:ascii="仿宋_GB2312" w:hAnsi="仿宋_GB2312" w:eastAsia="仿宋_GB2312" w:cs="仿宋_GB2312"/>
          <w:color w:val="000000"/>
          <w:spacing w:val="-6"/>
          <w:sz w:val="32"/>
          <w:szCs w:val="32"/>
        </w:rPr>
        <w:t>以洋县优质的生态基底为依托，大力发展超高压电缆及组件、手机及电脑等传输线、传感器等微电子产品、精密机械制造、植物萃取液提取等对洁净度要求较高的环境敏感性产业，加快</w:t>
      </w:r>
      <w:r>
        <w:rPr>
          <w:rFonts w:hint="eastAsia" w:ascii="仿宋_GB2312" w:hAnsi="仿宋_GB2312" w:eastAsia="仿宋_GB2312" w:cs="仿宋_GB2312"/>
          <w:spacing w:val="-6"/>
          <w:sz w:val="32"/>
          <w:szCs w:val="32"/>
        </w:rPr>
        <w:t>编制实施《洋县环境敏感型产业规划》，抓紧制定和出台《洋县加快环境敏感型产业发展的若干决定》、《洋县环境敏感性产业全球招商政策》等产业发展政策，及早谋划洋县环境敏感型产业发展重大支撑项目，</w:t>
      </w:r>
      <w:r>
        <w:rPr>
          <w:rFonts w:hint="eastAsia" w:ascii="仿宋_GB2312" w:hAnsi="仿宋_GB2312" w:eastAsia="仿宋_GB2312" w:cs="仿宋_GB2312"/>
          <w:spacing w:val="-6"/>
          <w:kern w:val="0"/>
          <w:sz w:val="32"/>
          <w:szCs w:val="32"/>
        </w:rPr>
        <w:t>着力引进有重大带动作用的龙头项目，</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color w:val="000000"/>
          <w:spacing w:val="-6"/>
          <w:sz w:val="32"/>
          <w:szCs w:val="32"/>
        </w:rPr>
        <w:t>积极发展轻量乡村工业。</w:t>
      </w:r>
      <w:r>
        <w:rPr>
          <w:rFonts w:hint="eastAsia" w:ascii="仿宋_GB2312" w:hAnsi="仿宋_GB2312" w:eastAsia="仿宋_GB2312" w:cs="仿宋_GB2312"/>
          <w:spacing w:val="-6"/>
          <w:sz w:val="32"/>
          <w:szCs w:val="32"/>
        </w:rPr>
        <w:t>充分利用洋县劳动力资源优势，</w:t>
      </w:r>
      <w:r>
        <w:rPr>
          <w:rFonts w:hint="eastAsia" w:ascii="仿宋_GB2312" w:hAnsi="仿宋_GB2312" w:eastAsia="仿宋_GB2312" w:cs="仿宋_GB2312"/>
          <w:b/>
          <w:bCs/>
          <w:spacing w:val="-6"/>
          <w:sz w:val="32"/>
          <w:szCs w:val="32"/>
        </w:rPr>
        <w:t>积极发展轻型“乡村工业”</w:t>
      </w:r>
      <w:r>
        <w:rPr>
          <w:rFonts w:hint="eastAsia" w:ascii="仿宋_GB2312" w:hAnsi="仿宋_GB2312" w:eastAsia="仿宋_GB2312" w:cs="仿宋_GB2312"/>
          <w:spacing w:val="-6"/>
          <w:sz w:val="32"/>
          <w:szCs w:val="32"/>
        </w:rPr>
        <w:t>，积极支持盛信电子、鹮南鞋业等劳动密集型企业做大做强，继续吸引成衣制造、包装、电子耗材等配套产业落户，完善洋县轻工业集聚基础。以城西中小企业孵化园、磨子桥移民搬迁（脱贫）产业园等为依托，主动对接西安、成都等大城市，强化与劳动密集型大型企业开展合作，积极承接零配件组装、流水线代加工等劳动密集服务，主动承接两大城市群产业转移。</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color w:val="000000"/>
          <w:spacing w:val="-6"/>
          <w:sz w:val="32"/>
          <w:szCs w:val="32"/>
        </w:rPr>
        <w:t>夯实产业发展平台载体。</w:t>
      </w:r>
      <w:r>
        <w:rPr>
          <w:rFonts w:hint="eastAsia" w:ascii="仿宋_GB2312" w:hAnsi="仿宋_GB2312" w:eastAsia="仿宋_GB2312" w:cs="仿宋_GB2312"/>
          <w:spacing w:val="-6"/>
          <w:sz w:val="32"/>
          <w:szCs w:val="32"/>
        </w:rPr>
        <w:t>按照“强化职能、事权统一、封闭运行”的基本原则，进一步理顺园区体制机制，建立事权集中、高度统一的洋县绿色（有机）循环产业区管理体制，对各片区进行统一规划、建设和管理。高标准编制绿色（有机）循环产业园总体规划、产业规划及招商引资规划，统筹推进育才路有机园区段、北环路有机园区段等园区内部道路、供水站、污水处理、固废处理等市政基础设施建设，加快建设标准化厂房，积极搭建融资、科技、人才等服务平台，增强园区综合配套能力和项目承载能力，积极创建省级经济技术开发区。以磨子桥移民搬迁产业园为主要承载空间，按照“总体规划、分步实施”的原则，高起点编制实施环境敏感型产业园发展规划，明确园区发展定位、主导业务内容，设定准入门槛和入园标准，采取与国内知名产业园合作、引进专业化运营商等方式，加快推进环境敏感型产业园区建设。结合国家产业政策、主体功能区规划和县域经济发展方向，以吸引劳动密集型中小企业、小微企业落户为导向，持续推进</w:t>
      </w:r>
      <w:r>
        <w:rPr>
          <w:rFonts w:hint="eastAsia" w:ascii="仿宋_GB2312" w:hAnsi="仿宋_GB2312" w:eastAsia="仿宋_GB2312" w:cs="仿宋_GB2312"/>
          <w:b/>
          <w:bCs/>
          <w:spacing w:val="-6"/>
          <w:sz w:val="32"/>
          <w:szCs w:val="32"/>
        </w:rPr>
        <w:t>城西中小企业孵化园建设，</w:t>
      </w:r>
      <w:r>
        <w:rPr>
          <w:rFonts w:hint="eastAsia" w:ascii="仿宋_GB2312" w:hAnsi="仿宋_GB2312" w:eastAsia="仿宋_GB2312" w:cs="仿宋_GB2312"/>
          <w:spacing w:val="-6"/>
          <w:sz w:val="32"/>
          <w:szCs w:val="32"/>
        </w:rPr>
        <w:t>大力推进标准化厂房建设，采取“微改造”方式组织开展存量标准厂房更新改造，加快建设众创空间及公共服务平台建设，为洋县产业高质量发展提供多点支撑。</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1" w:type="dxa"/>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专栏5-6：绿色工业循环产业体系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9121" w:type="dxa"/>
          </w:tcPr>
          <w:p>
            <w:pPr>
              <w:spacing w:line="400" w:lineRule="exact"/>
              <w:ind w:firstLine="422" w:firstLineChars="200"/>
              <w:rPr>
                <w:rFonts w:ascii="宋体" w:hAnsi="宋体" w:eastAsia="宋体" w:cs="宋体"/>
                <w:szCs w:val="21"/>
              </w:rPr>
            </w:pPr>
            <w:r>
              <w:rPr>
                <w:rFonts w:hint="eastAsia" w:ascii="宋体" w:hAnsi="宋体" w:eastAsia="宋体" w:cs="宋体"/>
                <w:b/>
                <w:bCs/>
                <w:szCs w:val="21"/>
              </w:rPr>
              <w:t>现代材料补链工程</w:t>
            </w:r>
            <w:r>
              <w:rPr>
                <w:rFonts w:hint="eastAsia" w:ascii="宋体" w:hAnsi="宋体" w:eastAsia="宋体" w:cs="宋体"/>
                <w:szCs w:val="21"/>
              </w:rPr>
              <w:t>：以汉中市</w:t>
            </w:r>
            <w:r>
              <w:rPr>
                <w:rFonts w:hint="eastAsia" w:ascii="宋体" w:hAnsi="宋体" w:eastAsia="宋体" w:cs="宋体"/>
                <w:szCs w:val="21"/>
                <w:lang w:eastAsia="zh-CN"/>
              </w:rPr>
              <w:t>“</w:t>
            </w:r>
            <w:r>
              <w:rPr>
                <w:rFonts w:hint="eastAsia" w:ascii="宋体" w:hAnsi="宋体" w:eastAsia="宋体" w:cs="宋体"/>
                <w:szCs w:val="21"/>
              </w:rPr>
              <w:t>十四五</w:t>
            </w:r>
            <w:r>
              <w:rPr>
                <w:rFonts w:hint="eastAsia" w:ascii="宋体" w:hAnsi="宋体" w:eastAsia="宋体" w:cs="宋体"/>
                <w:szCs w:val="21"/>
                <w:lang w:eastAsia="zh-CN"/>
              </w:rPr>
              <w:t>”</w:t>
            </w:r>
            <w:r>
              <w:rPr>
                <w:rFonts w:hint="eastAsia" w:ascii="宋体" w:hAnsi="宋体" w:eastAsia="宋体" w:cs="宋体"/>
                <w:szCs w:val="21"/>
              </w:rPr>
              <w:t>现代材料产业发展为指导，稳步推进3D材料及食品、医药、电子等环保材料产业发展，积极推进环保包装容器的研发、生产加工，加快产业园区循环化改造，强化低品位矿产及难分选矿产的综合利用，推动钒、钛等伴生矿的分离与提取利用，促进尾矿伴生金属的高效提取利用，实现洋县现代材料产业链纵深发展。</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“一镇（村）一品”提升工程</w:t>
            </w:r>
            <w:r>
              <w:rPr>
                <w:rFonts w:hint="eastAsia" w:ascii="宋体" w:hAnsi="宋体" w:eastAsia="宋体" w:cs="宋体"/>
                <w:szCs w:val="21"/>
              </w:rPr>
              <w:t>：以深化乡村振兴战略为指引，以促进就业、推进农民持续增收为核心，推动电子信息、服装制造等轻型工业劳动密集环节落户产业园区，有效吸纳乡村剩余劳动力。</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钒钛磁铁产业重点项目：</w:t>
            </w:r>
            <w:r>
              <w:rPr>
                <w:rFonts w:hint="eastAsia" w:ascii="宋体" w:hAnsi="宋体" w:eastAsia="宋体" w:cs="宋体"/>
                <w:szCs w:val="21"/>
              </w:rPr>
              <w:t>重点实施采矿场基建剥离及排土场系、选矿系统、尾矿库、110KV 变电站、精粉管道运输、供配电、暖通、除尘、自动化控制、电信、机修、自动化检验、废石综合利用等项目；建设容积 845万立方桑溪采选工程配套菜田沟尾矿库，建设陕南最大的尾矿库。</w:t>
            </w:r>
          </w:p>
          <w:p>
            <w:pPr>
              <w:spacing w:line="400" w:lineRule="exact"/>
              <w:ind w:firstLine="422" w:firstLineChars="200"/>
              <w:rPr>
                <w:rFonts w:ascii="仿宋" w:hAnsi="仿宋" w:eastAsia="仿宋" w:cs="仿宋"/>
                <w:sz w:val="32"/>
                <w:szCs w:val="32"/>
              </w:rPr>
            </w:pPr>
            <w:r>
              <w:rPr>
                <w:rFonts w:hint="eastAsia" w:ascii="宋体" w:hAnsi="宋体" w:eastAsia="宋体" w:cs="宋体"/>
                <w:b/>
                <w:bCs/>
                <w:szCs w:val="21"/>
              </w:rPr>
              <w:t>数字化工业园提升工程</w:t>
            </w:r>
            <w:r>
              <w:rPr>
                <w:rFonts w:hint="eastAsia" w:ascii="宋体" w:hAnsi="宋体" w:eastAsia="宋体" w:cs="宋体"/>
                <w:szCs w:val="21"/>
              </w:rPr>
              <w:t>：对桑溪有色工业基地进行专项化改造建设，围绕电子信息、新材料、功能食品、节能环保等新兴产业，推动产业协作创新，推广智能工厂，数字管理等新技术应用，以现有垃圾发电厂等工程为基础，扩大新能源供给能力。</w:t>
            </w:r>
          </w:p>
        </w:tc>
      </w:tr>
    </w:tbl>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持续提升工业绿色化发展水平。</w:t>
      </w:r>
      <w:r>
        <w:rPr>
          <w:rFonts w:hint="eastAsia" w:ascii="仿宋_GB2312" w:hAnsi="仿宋_GB2312" w:eastAsia="仿宋_GB2312" w:cs="仿宋_GB2312"/>
          <w:spacing w:val="-6"/>
          <w:sz w:val="32"/>
          <w:szCs w:val="32"/>
        </w:rPr>
        <w:t>以洋县绿色循环产业区建设为契机，重点围绕有机产业和有色金属材料产业的不同环节资源的循环利用要求，加快引进下游企业和配套企业，促进生产全链条内资源及废弃物的高效利用。围绕</w:t>
      </w:r>
      <w:r>
        <w:rPr>
          <w:rFonts w:hint="eastAsia" w:ascii="仿宋_GB2312" w:hAnsi="仿宋_GB2312" w:eastAsia="仿宋_GB2312" w:cs="仿宋_GB2312"/>
          <w:b/>
          <w:bCs/>
          <w:spacing w:val="-6"/>
          <w:sz w:val="32"/>
          <w:szCs w:val="32"/>
        </w:rPr>
        <w:t>“绿色矿山”和“花园矿区”</w:t>
      </w:r>
      <w:r>
        <w:rPr>
          <w:rFonts w:hint="eastAsia" w:ascii="仿宋_GB2312" w:hAnsi="仿宋_GB2312" w:eastAsia="仿宋_GB2312" w:cs="仿宋_GB2312"/>
          <w:spacing w:val="-6"/>
          <w:sz w:val="32"/>
          <w:szCs w:val="32"/>
        </w:rPr>
        <w:t>建设要求，进一步突出矿山开采中的生态保护地位，统筹推进固废资源化利用与矿区生态修复，支持企业围绕开采区工作面优化、矸石回填、矿区除尘等强化环保投入，加快推进菜田沟尾矿库等项目建设。立足洋县生活垃圾转运及焚烧发电厂，提高乡镇垃圾收容转运效率，强化数据化动态监管，不断提升绿色能源使用率。</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16"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spacing w:val="-6"/>
          <w:sz w:val="32"/>
          <w:szCs w:val="32"/>
        </w:rPr>
        <w:t>推进洋县工业综合实力稳步提升，力争到2025年末，规模以上工业企业达到150户以上，总产值突破300亿元。产业结构更加优化，高耗能工业产值占全县工业总产值的比重比“十三五”期间占比下降5%左右，淘汰落后产能企业5户，县域工业绿色化水平不断提升。</w:t>
      </w:r>
    </w:p>
    <w:bookmarkEnd w:id="133"/>
    <w:p>
      <w:pPr>
        <w:pStyle w:val="3"/>
        <w:spacing w:before="0" w:after="0" w:line="580" w:lineRule="exact"/>
        <w:ind w:firstLine="616" w:firstLineChars="200"/>
        <w:rPr>
          <w:rFonts w:ascii="黑体" w:hAnsi="黑体" w:eastAsia="黑体" w:cs="黑体"/>
          <w:b w:val="0"/>
          <w:bCs w:val="0"/>
          <w:spacing w:val="-6"/>
          <w:sz w:val="32"/>
          <w:szCs w:val="32"/>
        </w:rPr>
      </w:pPr>
      <w:bookmarkStart w:id="134" w:name="_Toc133539473"/>
      <w:bookmarkStart w:id="135" w:name="_Toc7596"/>
      <w:r>
        <w:rPr>
          <w:rFonts w:hint="eastAsia" w:ascii="黑体" w:hAnsi="黑体" w:eastAsia="黑体" w:cs="黑体"/>
          <w:b w:val="0"/>
          <w:bCs w:val="0"/>
          <w:spacing w:val="-6"/>
          <w:sz w:val="32"/>
          <w:szCs w:val="32"/>
        </w:rPr>
        <w:t>六、</w:t>
      </w:r>
      <w:bookmarkStart w:id="136" w:name="_Hlk152085888"/>
      <w:bookmarkStart w:id="137" w:name="_Hlk136966618"/>
      <w:r>
        <w:rPr>
          <w:rFonts w:hint="eastAsia" w:ascii="黑体" w:hAnsi="黑体" w:eastAsia="黑体" w:cs="黑体"/>
          <w:b w:val="0"/>
          <w:bCs w:val="0"/>
          <w:spacing w:val="-6"/>
          <w:sz w:val="32"/>
          <w:szCs w:val="32"/>
        </w:rPr>
        <w:t>高效率打通“两山”转化通道</w:t>
      </w:r>
      <w:bookmarkEnd w:id="134"/>
      <w:bookmarkEnd w:id="135"/>
      <w:bookmarkEnd w:id="136"/>
    </w:p>
    <w:p>
      <w:pPr>
        <w:spacing w:line="580" w:lineRule="exact"/>
        <w:ind w:firstLine="600"/>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rPr>
        <w:t>围绕“</w:t>
      </w:r>
      <w:bookmarkStart w:id="138" w:name="_Hlk105889833"/>
      <w:r>
        <w:rPr>
          <w:rFonts w:hint="eastAsia" w:ascii="仿宋_GB2312" w:hAnsi="仿宋_GB2312" w:eastAsia="仿宋_GB2312" w:cs="仿宋_GB2312"/>
          <w:spacing w:val="-6"/>
          <w:sz w:val="32"/>
          <w:szCs w:val="32"/>
        </w:rPr>
        <w:t>产业生态化</w:t>
      </w:r>
      <w:bookmarkEnd w:id="138"/>
      <w:r>
        <w:rPr>
          <w:rFonts w:hint="eastAsia" w:ascii="仿宋_GB2312" w:hAnsi="仿宋_GB2312" w:eastAsia="仿宋_GB2312" w:cs="仿宋_GB2312"/>
          <w:spacing w:val="-6"/>
          <w:sz w:val="32"/>
          <w:szCs w:val="32"/>
        </w:rPr>
        <w:t>、生态产业化”要求，以生态产品市场化交易、生态环境要素补偿和流域补偿、生态赋能产业、生态兴村富民等涉及排污权、碳排放权、林权、耕地权等准公共生态产品的领域为重点，加快搭建政府引导、企业和社会各界参与、市场化运作的“两山”转化通道，全面增强</w:t>
      </w:r>
      <w:r>
        <w:rPr>
          <w:rFonts w:hint="eastAsia" w:ascii="仿宋_GB2312" w:hAnsi="仿宋_GB2312" w:eastAsia="仿宋_GB2312" w:cs="仿宋_GB2312"/>
          <w:spacing w:val="-6"/>
          <w:sz w:val="32"/>
          <w:szCs w:val="32"/>
          <w:shd w:val="clear" w:color="auto" w:fill="FFFFFF"/>
        </w:rPr>
        <w:t>生态资源变资产、资产变资本的能力水平，构筑洋县生</w:t>
      </w:r>
      <w:r>
        <w:rPr>
          <w:rFonts w:hint="eastAsia" w:ascii="仿宋_GB2312" w:hAnsi="仿宋_GB2312" w:eastAsia="仿宋_GB2312" w:cs="仿宋_GB2312"/>
          <w:spacing w:val="-6"/>
          <w:sz w:val="32"/>
          <w:szCs w:val="32"/>
        </w:rPr>
        <w:t>态优势</w:t>
      </w:r>
      <w:r>
        <w:rPr>
          <w:rFonts w:hint="eastAsia" w:ascii="仿宋_GB2312" w:hAnsi="仿宋_GB2312" w:eastAsia="仿宋_GB2312" w:cs="仿宋_GB2312"/>
          <w:spacing w:val="-6"/>
          <w:sz w:val="32"/>
          <w:szCs w:val="32"/>
          <w:shd w:val="clear" w:color="auto" w:fill="FFFFFF"/>
        </w:rPr>
        <w:t>转换为</w:t>
      </w:r>
      <w:r>
        <w:rPr>
          <w:rFonts w:hint="eastAsia" w:ascii="仿宋_GB2312" w:hAnsi="仿宋_GB2312" w:eastAsia="仿宋_GB2312" w:cs="仿宋_GB2312"/>
          <w:spacing w:val="-6"/>
          <w:sz w:val="32"/>
          <w:szCs w:val="32"/>
        </w:rPr>
        <w:t>经济优势</w:t>
      </w:r>
      <w:r>
        <w:rPr>
          <w:rFonts w:hint="eastAsia" w:ascii="仿宋_GB2312" w:hAnsi="仿宋_GB2312" w:eastAsia="仿宋_GB2312" w:cs="仿宋_GB2312"/>
          <w:spacing w:val="-6"/>
          <w:sz w:val="32"/>
          <w:szCs w:val="32"/>
          <w:shd w:val="clear" w:color="auto" w:fill="FFFFFF"/>
        </w:rPr>
        <w:t>、发展优势的高效率</w:t>
      </w:r>
      <w:r>
        <w:rPr>
          <w:rFonts w:hint="eastAsia" w:ascii="仿宋_GB2312" w:hAnsi="仿宋_GB2312" w:eastAsia="仿宋_GB2312" w:cs="仿宋_GB2312"/>
          <w:spacing w:val="-6"/>
          <w:sz w:val="32"/>
          <w:szCs w:val="32"/>
        </w:rPr>
        <w:t>通道。</w:t>
      </w:r>
    </w:p>
    <w:bookmarkEnd w:id="137"/>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39" w:name="_Toc91449936"/>
      <w:bookmarkStart w:id="140" w:name="_Toc133539474"/>
      <w:bookmarkStart w:id="141" w:name="_Toc19015"/>
      <w:r>
        <w:rPr>
          <w:rFonts w:hint="eastAsia" w:ascii="楷体_GB2312" w:hAnsi="楷体_GB2312" w:eastAsia="楷体_GB2312" w:cs="楷体_GB2312"/>
          <w:b w:val="0"/>
          <w:spacing w:val="-6"/>
          <w:sz w:val="32"/>
          <w:szCs w:val="32"/>
        </w:rPr>
        <w:t>（一）</w:t>
      </w:r>
      <w:bookmarkEnd w:id="139"/>
      <w:bookmarkStart w:id="142" w:name="_Hlk136967248"/>
      <w:bookmarkStart w:id="143" w:name="_Hlk152086610"/>
      <w:r>
        <w:rPr>
          <w:rFonts w:hint="eastAsia" w:ascii="楷体_GB2312" w:hAnsi="楷体_GB2312" w:eastAsia="楷体_GB2312" w:cs="楷体_GB2312"/>
          <w:b w:val="0"/>
          <w:spacing w:val="-6"/>
          <w:sz w:val="32"/>
          <w:szCs w:val="32"/>
        </w:rPr>
        <w:t>市场化交易通道参与工程</w:t>
      </w:r>
      <w:bookmarkEnd w:id="140"/>
      <w:bookmarkEnd w:id="141"/>
      <w:bookmarkEnd w:id="142"/>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抢抓国家大力推动碳交易市场化带来的战略机遇，以加快洋县优质生态资源“变现”为导向，主动参与森林碳汇交易，探索清洁能源排放权交易，打通公共生态产品与资本市场连接通道，加快生态产业化进程。</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组织开展林业碳汇项目开发。</w:t>
      </w:r>
      <w:r>
        <w:rPr>
          <w:rFonts w:hint="eastAsia" w:ascii="仿宋_GB2312" w:hAnsi="仿宋_GB2312" w:eastAsia="仿宋_GB2312" w:cs="仿宋_GB2312"/>
          <w:spacing w:val="-6"/>
          <w:sz w:val="32"/>
          <w:szCs w:val="32"/>
        </w:rPr>
        <w:t>统筹实施植被固碳量释氧量递增工程和森林“含金量”提升工程，及早对洋县适合发展森林碳汇产业的生态资源进行排查、摸底、确权，以华阳镇、茅坪镇、八里关镇、关帝镇、溢水镇等北部乡镇为重点，支持国有林场、民营企业、林业合作社和林业大户采用CCER（国家自愿核证减排量）模式，按照国家已经出台的碳汇造林方法学或森林经营项目作业设计等要求，高起点、高标准建设森林碳汇基地。成立洋县碳汇林管理有限公司作为造林碳汇项目和森林经营碳汇项目的业主代表，全权</w:t>
      </w:r>
      <w:bookmarkStart w:id="144" w:name="_Hlk116336482"/>
      <w:r>
        <w:rPr>
          <w:rFonts w:hint="eastAsia" w:ascii="仿宋_GB2312" w:hAnsi="仿宋_GB2312" w:eastAsia="仿宋_GB2312" w:cs="仿宋_GB2312"/>
          <w:spacing w:val="-6"/>
          <w:sz w:val="32"/>
          <w:szCs w:val="32"/>
        </w:rPr>
        <w:t>负责碳汇开发、减排量交易</w:t>
      </w:r>
      <w:bookmarkEnd w:id="144"/>
      <w:r>
        <w:rPr>
          <w:rFonts w:hint="eastAsia" w:ascii="仿宋_GB2312" w:hAnsi="仿宋_GB2312" w:eastAsia="仿宋_GB2312" w:cs="仿宋_GB2312"/>
          <w:spacing w:val="-6"/>
          <w:sz w:val="32"/>
          <w:szCs w:val="32"/>
        </w:rPr>
        <w:t>和收益资金分配事宜，根据各项目业主所参与项目开发的林业面积比例进行收益分配。</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开展林业碳汇计量监测。</w:t>
      </w:r>
      <w:r>
        <w:rPr>
          <w:rFonts w:hint="eastAsia" w:ascii="仿宋_GB2312" w:hAnsi="仿宋_GB2312" w:eastAsia="仿宋_GB2312" w:cs="仿宋_GB2312"/>
          <w:spacing w:val="-6"/>
          <w:sz w:val="32"/>
          <w:szCs w:val="32"/>
        </w:rPr>
        <w:t>加快开展县域森林及林地的分布、质量、保护等级、权属，以及退耕还林、退化林、无立木林地等情况的全面调查摸底，开展森林（各类林木、树种）生物量、年生长量调查和固碳特性综合分析，科学测算林业碳汇量规模，遵循CCER项目要求建立健全林地碳汇计量监测体系，测量造林项目实际碳汇量，编写项目监测报告（MR）和核证所需的支持性文件，申请减排量核证和备案。</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主动参与碳排放权交易。</w:t>
      </w:r>
      <w:r>
        <w:rPr>
          <w:rFonts w:hint="eastAsia" w:ascii="仿宋_GB2312" w:hAnsi="仿宋_GB2312" w:eastAsia="仿宋_GB2312" w:cs="仿宋_GB2312"/>
          <w:spacing w:val="-6"/>
          <w:sz w:val="32"/>
          <w:szCs w:val="32"/>
        </w:rPr>
        <w:t>主动对接外部交易市场，积极参与国内外碳排放权交易，推进洋县森林碳汇产品进入碳交易平台挂牌出售。积极争取陕西省相关部门支持，主动对接省内电力、化工、煤炭、航空等高耗能高排放行业，推动开展“两高”企业购买林业碳汇项目减排量试点工作。密切关注全国碳市场注册登记系统和交易系统建设，适时牵头筹备组建秦岭地区林业碳汇联盟，努力放大林业碳汇改革示范效应。主动对接国家、陕西省、汉中市三级贸促会及相关机构，争取国内意向举办“零碳”活动的大型展览展会、会议论坛、赛事演出等购买洋县森林经营碳汇项目以抵消碳排放。对标国际碳汇开发规则，借鉴国际核证碳减排标准（VCS）创新生成项目，积极与全国其他地区碳排放交易所商业合作，开展VCS林业碳汇交易。积极创新“碳汇+义务植树”“碳汇+旅游”“碳汇+司法”等市场化机制，鼓励机关、企事业单位、个人购买林草碳汇消除碳足迹。</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探索清洁能源排放权交易。</w:t>
      </w:r>
      <w:r>
        <w:rPr>
          <w:rFonts w:hint="eastAsia" w:ascii="仿宋_GB2312" w:hAnsi="仿宋_GB2312" w:eastAsia="仿宋_GB2312" w:cs="仿宋_GB2312"/>
          <w:spacing w:val="-6"/>
          <w:sz w:val="32"/>
          <w:szCs w:val="32"/>
        </w:rPr>
        <w:t>密切关注国内外废弃物发电行业参与碳市场交易进展，支持洋县海螺创业公司探索垃圾焚烧发电项目的减排量核算方法，鼓励企业参与垃圾焚烧发电温室气体削减排放量核证技术规范编制工作，适时开展降碳产品的开发，形成生态产品，争取平台交易。积极对接国家能源局，争取进入整县(市、区)</w:t>
      </w:r>
      <w:r>
        <w:fldChar w:fldCharType="begin"/>
      </w:r>
      <w:r>
        <w:instrText xml:space="preserve"> HYPERLINK "https://www.kesolar.com/s/%E5%B1%8B%E9%A1%B6%E5%88%86%E5%B8%83%E5%BC%8F%E5%85%89%E4%BC%8F.html" \t "_blank" </w:instrText>
      </w:r>
      <w:r>
        <w:fldChar w:fldCharType="separate"/>
      </w:r>
      <w:r>
        <w:rPr>
          <w:rFonts w:hint="eastAsia" w:ascii="仿宋_GB2312" w:hAnsi="仿宋_GB2312" w:eastAsia="仿宋_GB2312" w:cs="仿宋_GB2312"/>
          <w:spacing w:val="-6"/>
          <w:sz w:val="32"/>
          <w:szCs w:val="32"/>
        </w:rPr>
        <w:t>屋顶分布式光伏</w:t>
      </w:r>
      <w:r>
        <w:rPr>
          <w:rFonts w:hint="eastAsia" w:ascii="仿宋_GB2312" w:hAnsi="仿宋_GB2312" w:eastAsia="仿宋_GB2312" w:cs="仿宋_GB2312"/>
          <w:spacing w:val="-6"/>
          <w:sz w:val="32"/>
          <w:szCs w:val="32"/>
        </w:rPr>
        <w:fldChar w:fldCharType="end"/>
      </w:r>
      <w:r>
        <w:rPr>
          <w:rFonts w:hint="eastAsia" w:ascii="仿宋_GB2312" w:hAnsi="仿宋_GB2312" w:eastAsia="仿宋_GB2312" w:cs="仿宋_GB2312"/>
          <w:spacing w:val="-6"/>
          <w:sz w:val="32"/>
          <w:szCs w:val="32"/>
        </w:rPr>
        <w:t>开发试点名单，适时启动分布式光伏碳资产聚合试点，开展分布式光伏碳资产国家核证自愿减排量CCER交易工作。</w:t>
      </w:r>
    </w:p>
    <w:p>
      <w:pPr>
        <w:spacing w:line="580" w:lineRule="exact"/>
        <w:rPr>
          <w:rFonts w:ascii="仿宋_GB2312" w:hAnsi="仿宋_GB2312" w:eastAsia="仿宋_GB2312" w:cs="仿宋_GB2312"/>
          <w:spacing w:val="-6"/>
          <w:sz w:val="32"/>
          <w:szCs w:val="32"/>
        </w:rPr>
      </w:pPr>
    </w:p>
    <w:p>
      <w:pPr>
        <w:pStyle w:val="2"/>
        <w:rPr>
          <w:rFonts w:ascii="仿宋_GB2312" w:hAnsi="仿宋_GB2312" w:eastAsia="仿宋_GB2312" w:cs="仿宋_GB2312"/>
          <w:spacing w:val="-6"/>
          <w:sz w:val="32"/>
          <w:szCs w:val="32"/>
        </w:rPr>
      </w:pPr>
    </w:p>
    <w:tbl>
      <w:tblPr>
        <w:tblStyle w:val="19"/>
        <w:tblpPr w:leftFromText="180" w:rightFromText="180" w:vertAnchor="text" w:horzAnchor="margin" w:tblpY="1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31" w:type="dxa"/>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专栏6-1：CCER林业碳汇项目开发与交易流程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5" w:hRule="atLeast"/>
        </w:trPr>
        <w:tc>
          <w:tcPr>
            <w:tcW w:w="9031" w:type="dxa"/>
          </w:tcPr>
          <w:p>
            <w:pPr>
              <w:spacing w:line="200" w:lineRule="exact"/>
              <w:ind w:firstLine="420" w:firstLineChars="200"/>
              <w:rPr>
                <w:rFonts w:ascii="宋体" w:hAnsi="宋体" w:eastAsia="宋体" w:cs="宋体"/>
                <w:szCs w:val="21"/>
              </w:rPr>
            </w:pPr>
          </w:p>
          <w:p>
            <w:pPr>
              <w:spacing w:line="440" w:lineRule="exact"/>
              <w:ind w:firstLine="420" w:firstLineChars="200"/>
              <w:rPr>
                <w:rFonts w:ascii="宋体" w:hAnsi="宋体" w:eastAsia="宋体" w:cs="宋体"/>
                <w:szCs w:val="21"/>
              </w:rPr>
            </w:pPr>
            <w:r>
              <w:rPr>
                <w:rFonts w:hint="eastAsia" w:ascii="宋体" w:hAnsi="宋体" w:eastAsia="宋体" w:cs="宋体"/>
                <w:szCs w:val="21"/>
              </w:rPr>
              <w:t>1.CCER林业碳汇项目开发流程</w:t>
            </w:r>
          </w:p>
          <w:p>
            <w:pPr>
              <w:spacing w:line="440" w:lineRule="exact"/>
              <w:ind w:firstLine="420" w:firstLineChars="200"/>
              <w:rPr>
                <w:rFonts w:ascii="宋体" w:hAnsi="宋体" w:eastAsia="宋体" w:cs="宋体"/>
                <w:szCs w:val="21"/>
              </w:rPr>
            </w:pPr>
            <w:r>
              <w:rPr>
                <w:rFonts w:hint="eastAsia" w:ascii="宋体" w:hAnsi="宋体" w:eastAsia="宋体" w:cs="宋体"/>
                <w:szCs w:val="21"/>
              </w:rPr>
              <w:t>CCER林业碳汇项目开发流程包括以下7个步骤。</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设计。由技术支持机构（咨询机构），按照国家有关规定，开展基准线识别、造林作业设计调查和编制造林作业设计（造林类项目），或森林经营方案（森林经营类项目），并报地方林业主管部门审批，获取批复。</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审定。由项目业主或咨询机构，委托国家发展改革委批准备案的审定机构，依据《温室气体自愿减排交易管理暂行办法》、《温室气体自愿减排项目审定与核证指南》和选用的林业碳汇项目方法学，按照规定的程序和要求开展独立审定。</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备案。项目业主企业（央企除外）经过省级发改委初审后转报国家发展改革委，同时需省级林业主管部门出具项目真实性的证明。国家发展改革委委托专家进行评估，并依据专家评估意见对自愿减排项目备案申请进行审查，对符合条件的项目予以备案。</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项目实施。根据项目设计文件（PDD）、林业碳汇项目方法学和造林或森林经营项目作业设计等要求，开展营造林项目活动。</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项目监测。按备案的项目设计文件、监测计划、监测手册实施项目监测活动，测量造林项目实际碳汇量，并编写项目监测报告（MR），准备核证所需的支持性文件，用于申请减排量核证和备案。</w:t>
            </w:r>
          </w:p>
          <w:p>
            <w:pPr>
              <w:spacing w:line="440" w:lineRule="exact"/>
              <w:ind w:firstLine="420" w:firstLineChars="200"/>
              <w:rPr>
                <w:rFonts w:ascii="宋体" w:hAnsi="宋体" w:eastAsia="宋体" w:cs="宋体"/>
                <w:szCs w:val="21"/>
              </w:rPr>
            </w:pPr>
            <w:r>
              <w:rPr>
                <w:rFonts w:hint="eastAsia" w:ascii="宋体" w:hAnsi="宋体" w:eastAsia="宋体" w:cs="宋体"/>
                <w:szCs w:val="21"/>
              </w:rPr>
              <w:t>项目核证。由业主或咨询机构，委托国家发展改革委备案的核证机构进行独立核证。</w:t>
            </w:r>
          </w:p>
          <w:p>
            <w:pPr>
              <w:spacing w:line="440" w:lineRule="exact"/>
              <w:ind w:firstLine="420" w:firstLineChars="200"/>
              <w:rPr>
                <w:rFonts w:ascii="宋体" w:hAnsi="宋体" w:eastAsia="宋体" w:cs="宋体"/>
                <w:szCs w:val="21"/>
              </w:rPr>
            </w:pPr>
            <w:r>
              <w:rPr>
                <w:rFonts w:hint="eastAsia" w:ascii="宋体" w:hAnsi="宋体" w:eastAsia="宋体" w:cs="宋体"/>
                <w:szCs w:val="21"/>
              </w:rPr>
              <w:t>减排量备案签发。由项目业主直接向国家发展改革委提交减排量备案申请材料。由国家发展改革委委托专家进行评估，并依据专家评估意见对自愿减排项目减排量备案申请材料进行联合审查，对符合要求的项目给予减排量备案签发。</w:t>
            </w:r>
          </w:p>
          <w:p>
            <w:pPr>
              <w:spacing w:line="440" w:lineRule="exact"/>
              <w:ind w:firstLine="420" w:firstLineChars="200"/>
              <w:rPr>
                <w:rFonts w:ascii="宋体" w:hAnsi="宋体" w:eastAsia="宋体" w:cs="宋体"/>
                <w:szCs w:val="21"/>
              </w:rPr>
            </w:pPr>
            <w:r>
              <w:rPr>
                <w:rFonts w:hint="eastAsia" w:ascii="宋体" w:hAnsi="宋体" w:eastAsia="宋体" w:cs="宋体"/>
                <w:szCs w:val="21"/>
              </w:rPr>
              <w:t>2.CCER林业碳汇交易流程</w:t>
            </w:r>
          </w:p>
          <w:p>
            <w:pPr>
              <w:spacing w:line="440" w:lineRule="exact"/>
              <w:ind w:firstLine="420" w:firstLineChars="200"/>
              <w:rPr>
                <w:rFonts w:ascii="仿宋" w:hAnsi="仿宋" w:eastAsia="仿宋" w:cs="仿宋"/>
                <w:sz w:val="32"/>
                <w:szCs w:val="32"/>
              </w:rPr>
            </w:pPr>
            <w:r>
              <w:rPr>
                <w:rFonts w:hint="eastAsia" w:ascii="宋体" w:hAnsi="宋体" w:eastAsia="宋体" w:cs="宋体"/>
                <w:szCs w:val="21"/>
              </w:rPr>
              <w:t>CCER林业碳汇交易有两种方式：（1）项目林业碳汇CCER获得国家发展改革委备案签发后，在国家发展改革委备案的碳交易所交易，用于重点排放单位（控排单位）履约或者有关组织机构开展碳中和、碳补偿等自愿减排、履行社会责任。（2）项目备注注册后，项目业主与买家签署订购协议，支付定金或预付款，每次获得国家主管部门签发减排量后交付买家林业碳汇CCER。</w:t>
            </w:r>
          </w:p>
        </w:tc>
      </w:tr>
    </w:tbl>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afterLines="50" w:line="580" w:lineRule="exact"/>
        <w:ind w:firstLine="60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产品市场化交易通道体系基本形成，森林碳汇基地建设全面推进，林地碳汇计量监测体系基本建立，碳交易（CCER）项目开发取得突破，碳排放权交易取得实质性进展，清洁能源排放权交易开始起步。到2025年，争取森林碳汇项目达到10万亩，碳排放权交易额达到2000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tcPr>
          <w:p>
            <w:pPr>
              <w:spacing w:line="580" w:lineRule="exact"/>
              <w:jc w:val="center"/>
              <w:rPr>
                <w:rFonts w:ascii="仿宋" w:hAnsi="仿宋" w:eastAsia="仿宋" w:cs="仿宋"/>
                <w:sz w:val="32"/>
                <w:szCs w:val="32"/>
              </w:rPr>
            </w:pPr>
            <w:r>
              <w:rPr>
                <w:rFonts w:hint="eastAsia" w:ascii="宋体" w:hAnsi="宋体" w:eastAsia="宋体" w:cs="宋体"/>
                <w:b/>
                <w:bCs/>
                <w:sz w:val="32"/>
                <w:szCs w:val="32"/>
              </w:rPr>
              <w:t>专栏6-2：VCS林业碳汇项目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9046" w:type="dxa"/>
          </w:tcPr>
          <w:p>
            <w:pPr>
              <w:spacing w:line="440" w:lineRule="exact"/>
              <w:ind w:firstLine="420" w:firstLineChars="200"/>
              <w:rPr>
                <w:rFonts w:ascii="宋体" w:hAnsi="宋体" w:eastAsia="宋体" w:cs="宋体"/>
                <w:szCs w:val="21"/>
              </w:rPr>
            </w:pPr>
            <w:r>
              <w:rPr>
                <w:rFonts w:hint="eastAsia" w:ascii="宋体" w:hAnsi="宋体" w:eastAsia="宋体" w:cs="宋体"/>
                <w:szCs w:val="21"/>
              </w:rPr>
              <w:t>VCS林业碳汇项目是国际核证碳减排标准(Verifed Carbon Standard)的简称，由气候组织、国际排放交易协会和世界经济论坛发起组织实施，是一种较为完善的国际自愿碳市场补偿标准。VCS林业碳汇项目主要为造林、改进森林管理。VCS林业碳汇项目在国际自愿碳市场上有一定交易规模，约占全球自愿市场林业碳汇项目总数的80%以上，主要用于企业自愿减排，履行社会责任、提升企业形象。</w:t>
            </w:r>
          </w:p>
          <w:p>
            <w:pPr>
              <w:spacing w:line="440" w:lineRule="exact"/>
              <w:ind w:firstLine="420" w:firstLineChars="200"/>
              <w:rPr>
                <w:rFonts w:ascii="仿宋" w:hAnsi="仿宋" w:eastAsia="仿宋" w:cs="仿宋"/>
                <w:sz w:val="32"/>
                <w:szCs w:val="32"/>
              </w:rPr>
            </w:pPr>
            <w:r>
              <w:rPr>
                <w:rFonts w:hint="eastAsia" w:ascii="宋体" w:hAnsi="宋体" w:eastAsia="宋体" w:cs="宋体"/>
                <w:szCs w:val="21"/>
              </w:rPr>
              <w:t>根据VCS项目数据库显示，截至2019年底，我国共有17个林业碳汇项目获得VCS批准注册，包括10个造林再造林项目和7个改进森林管理项目。</w:t>
            </w:r>
          </w:p>
        </w:tc>
      </w:tr>
    </w:tbl>
    <w:p>
      <w:pPr>
        <w:pStyle w:val="4"/>
        <w:spacing w:beforeLines="50" w:beforeAutospacing="0" w:after="0" w:afterAutospacing="0" w:line="570" w:lineRule="exact"/>
        <w:ind w:firstLine="616" w:firstLineChars="200"/>
        <w:rPr>
          <w:rFonts w:ascii="楷体_GB2312" w:hAnsi="楷体_GB2312" w:eastAsia="楷体_GB2312" w:cs="楷体_GB2312"/>
          <w:b w:val="0"/>
          <w:spacing w:val="-6"/>
          <w:sz w:val="32"/>
          <w:szCs w:val="32"/>
        </w:rPr>
      </w:pPr>
      <w:bookmarkStart w:id="145" w:name="_Toc133539475"/>
      <w:bookmarkStart w:id="146" w:name="_Toc20239"/>
      <w:bookmarkStart w:id="147" w:name="_Hlk152088173"/>
      <w:r>
        <w:rPr>
          <w:rFonts w:hint="eastAsia" w:ascii="楷体_GB2312" w:hAnsi="楷体_GB2312" w:eastAsia="楷体_GB2312" w:cs="楷体_GB2312"/>
          <w:b w:val="0"/>
          <w:spacing w:val="-6"/>
          <w:sz w:val="32"/>
          <w:szCs w:val="32"/>
        </w:rPr>
        <w:t>（二）</w:t>
      </w:r>
      <w:bookmarkStart w:id="148" w:name="_Hlk136967343"/>
      <w:r>
        <w:rPr>
          <w:rFonts w:hint="eastAsia" w:ascii="楷体_GB2312" w:hAnsi="楷体_GB2312" w:eastAsia="楷体_GB2312" w:cs="楷体_GB2312"/>
          <w:b w:val="0"/>
          <w:spacing w:val="-6"/>
          <w:sz w:val="32"/>
          <w:szCs w:val="32"/>
        </w:rPr>
        <w:t>生态补偿通道推进工程</w:t>
      </w:r>
      <w:bookmarkEnd w:id="145"/>
      <w:bookmarkEnd w:id="146"/>
      <w:bookmarkEnd w:id="148"/>
    </w:p>
    <w:bookmarkEnd w:id="143"/>
    <w:p>
      <w:pPr>
        <w:keepNext/>
        <w:keepLines/>
        <w:spacing w:line="57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7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拓宽“两山”转换通道为导向，积极争取国家、陕西省政府支持开展生态保护补偿试点，重点围绕与关联区域的生态环境要素补偿和流域补偿，探索森林覆盖率资源权益指标交易、清水增量责任指标交易，为丰富西部地区生态保护补偿手段，推动生态资源权益交易探索新的路径和模式。</w:t>
      </w:r>
    </w:p>
    <w:p>
      <w:pPr>
        <w:keepNext/>
        <w:keepLines/>
        <w:spacing w:line="57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70" w:lineRule="exact"/>
        <w:ind w:firstLine="600"/>
        <w:rPr>
          <w:rFonts w:ascii="仿宋_GB2312" w:hAnsi="仿宋_GB2312" w:eastAsia="仿宋_GB2312" w:cs="仿宋_GB2312"/>
          <w:spacing w:val="-6"/>
          <w:sz w:val="32"/>
          <w:szCs w:val="32"/>
        </w:rPr>
      </w:pPr>
      <w:bookmarkStart w:id="149" w:name="_Hlk105867213"/>
      <w:r>
        <w:rPr>
          <w:rFonts w:hint="eastAsia" w:ascii="仿宋_GB2312" w:hAnsi="仿宋_GB2312" w:eastAsia="仿宋_GB2312" w:cs="仿宋_GB2312"/>
          <w:b/>
          <w:bCs/>
          <w:spacing w:val="-6"/>
          <w:sz w:val="32"/>
          <w:szCs w:val="32"/>
        </w:rPr>
        <w:t>推动开展生态环境要素基础补偿。</w:t>
      </w:r>
      <w:bookmarkEnd w:id="149"/>
      <w:r>
        <w:rPr>
          <w:rFonts w:hint="eastAsia" w:ascii="仿宋_GB2312" w:hAnsi="仿宋_GB2312" w:eastAsia="仿宋_GB2312" w:cs="仿宋_GB2312"/>
          <w:spacing w:val="-6"/>
          <w:sz w:val="32"/>
          <w:szCs w:val="32"/>
        </w:rPr>
        <w:t>在对全域生态服务价值和因保护朱鹮、保护水源地而损失的机会成本及历史贡献进行研究和客观评价的基础上，争取省市支持以洋县为试点，建立与生态服务功能和生态环境要素保护力度挂钩的财政转移支付机制。争取省市政府设立森林覆盖率、水源地保护基础补偿制度，争取提高省级生态公益林补偿标准。</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推动开展森林覆盖率资源权益指标交易。</w:t>
      </w:r>
      <w:r>
        <w:rPr>
          <w:rFonts w:hint="eastAsia" w:ascii="仿宋_GB2312" w:hAnsi="仿宋_GB2312" w:eastAsia="仿宋_GB2312" w:cs="仿宋_GB2312"/>
          <w:spacing w:val="-6"/>
          <w:sz w:val="32"/>
          <w:szCs w:val="32"/>
        </w:rPr>
        <w:t>以落实国家“探索合法合规开展森林覆盖率等资源权益指标交易”要求为导向，主动对接省市林业部门，在借鉴重庆市实施横向生态补偿提高森林覆盖率交易相关经验的基础上，先行对森林覆盖率认定标准、城市内部乔木林折算系数和造林及管护成本测算等森林覆盖率资源权益交易必须的关键环节开展前期研究和准备工作，为陕西省推进实施横向生态补偿提高森林覆盖率奠定基础。</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推动开展清水增量责任指标交易。</w:t>
      </w:r>
      <w:r>
        <w:rPr>
          <w:rFonts w:hint="eastAsia" w:ascii="仿宋_GB2312" w:hAnsi="仿宋_GB2312" w:eastAsia="仿宋_GB2312" w:cs="仿宋_GB2312"/>
          <w:spacing w:val="-6"/>
          <w:sz w:val="32"/>
          <w:szCs w:val="32"/>
        </w:rPr>
        <w:t>紧扣《支持长江全流域建立横向生态保护补偿机制的实施方案》，推动实施按照断面水质考核目标、达标年限科学设置汉江流域生态补偿标准，积极推动建立流域断面水质等级提升与生态补偿标准联动的自然增长机制。鼓励企业加大节水力度，优先配置使用雨水、中水、可再生水，支持企业将节水富余的水资源使用权用于水权市场交易。</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生态补偿通道建设工作实质性启动，争取生态环境要素基础补偿列入省级试点，森林覆盖率资源权益指标交易工作取得进展，清水增量责任指标交易逐步开展，为不断丰富西部地区生态补偿手段奠定基础。</w:t>
      </w:r>
    </w:p>
    <w:bookmarkEnd w:id="147"/>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50" w:name="_Toc10272"/>
      <w:bookmarkStart w:id="151" w:name="_Toc133539476"/>
      <w:r>
        <w:rPr>
          <w:rFonts w:hint="eastAsia" w:ascii="楷体_GB2312" w:hAnsi="楷体_GB2312" w:eastAsia="楷体_GB2312" w:cs="楷体_GB2312"/>
          <w:b w:val="0"/>
          <w:spacing w:val="-6"/>
          <w:sz w:val="32"/>
          <w:szCs w:val="32"/>
        </w:rPr>
        <w:t>（三）</w:t>
      </w:r>
      <w:bookmarkStart w:id="152" w:name="_Hlk136967362"/>
      <w:bookmarkStart w:id="153" w:name="_Hlk152089450"/>
      <w:r>
        <w:rPr>
          <w:rFonts w:hint="eastAsia" w:ascii="楷体_GB2312" w:hAnsi="楷体_GB2312" w:eastAsia="楷体_GB2312" w:cs="楷体_GB2312"/>
          <w:b w:val="0"/>
          <w:spacing w:val="-6"/>
          <w:sz w:val="32"/>
          <w:szCs w:val="32"/>
        </w:rPr>
        <w:t>生态赋能产业通道塑造工程</w:t>
      </w:r>
      <w:bookmarkEnd w:id="150"/>
      <w:bookmarkEnd w:id="151"/>
      <w:bookmarkEnd w:id="152"/>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tabs>
          <w:tab w:val="left" w:pos="1620"/>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以洋县优质的生态环境要素为依托，围绕产业生态化建设要求，创新生态支撑产业发展途</w:t>
      </w:r>
      <w:r>
        <w:rPr>
          <w:rFonts w:hint="eastAsia" w:ascii="仿宋_GB2312" w:hAnsi="仿宋_GB2312" w:eastAsia="仿宋_GB2312" w:cs="仿宋_GB2312"/>
          <w:spacing w:val="-6"/>
          <w:sz w:val="32"/>
          <w:szCs w:val="32"/>
          <w:lang w:val="en-US" w:eastAsia="zh-CN"/>
        </w:rPr>
        <w:t>径</w:t>
      </w:r>
      <w:r>
        <w:rPr>
          <w:rFonts w:hint="eastAsia" w:ascii="仿宋_GB2312" w:hAnsi="仿宋_GB2312" w:eastAsia="仿宋_GB2312" w:cs="仿宋_GB2312"/>
          <w:spacing w:val="-6"/>
          <w:sz w:val="32"/>
          <w:szCs w:val="32"/>
        </w:rPr>
        <w:t>，提升生态服务引领产业发展的能力，着力打通生态赋能产业的联系通道，为西部地区生态赋能产业发展探索新通道。</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加快建立生态价值“基准地价”评价体系。</w:t>
      </w:r>
      <w:r>
        <w:rPr>
          <w:rFonts w:hint="eastAsia" w:ascii="仿宋_GB2312" w:hAnsi="仿宋_GB2312" w:eastAsia="仿宋_GB2312" w:cs="仿宋_GB2312"/>
          <w:spacing w:val="-6"/>
          <w:sz w:val="32"/>
          <w:szCs w:val="32"/>
        </w:rPr>
        <w:t>借鉴浙江省丽水市生态产品价值核算技术办法、成功经验以及《生态产品价值核算指南》地方标准(DB3311/T139-2020)，探索建立全域生态“基准地价”评价体系。研究制定包括空气、水质、植被、土壤等能够反映区域生态产品价值的指标体系，以乡镇为基本评价单元，</w:t>
      </w:r>
      <w:r>
        <w:rPr>
          <w:rFonts w:hint="eastAsia" w:ascii="仿宋_GB2312" w:hAnsi="仿宋_GB2312" w:eastAsia="仿宋_GB2312" w:cs="仿宋_GB2312"/>
          <w:color w:val="000000" w:themeColor="text1"/>
          <w:spacing w:val="-6"/>
          <w:sz w:val="32"/>
          <w:szCs w:val="32"/>
        </w:rPr>
        <w:t>计算各镇和街道生态产品的区域平均价格。</w:t>
      </w:r>
      <w:r>
        <w:rPr>
          <w:rFonts w:hint="eastAsia" w:ascii="仿宋_GB2312" w:hAnsi="仿宋_GB2312" w:eastAsia="仿宋_GB2312" w:cs="仿宋_GB2312"/>
          <w:spacing w:val="-6"/>
          <w:sz w:val="32"/>
          <w:szCs w:val="32"/>
        </w:rPr>
        <w:t>建立分级标准，编制洋县生态价值“基准地价”分区分级图，参考城乡土地基准地价应用方式，试行有机农产品价格、民宿等旅游产品价格等产业产品价格与生态价值“基准地价”相挂钩的“溢价”机制，将清新空气、优美环境等生态要素纳入产品和服务定价范围，实现生态环境优质区域生态产品“明码标价”，提升地方产品的“生态附加值”。</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加大发展环境敏感型产业推广力度。</w:t>
      </w:r>
      <w:r>
        <w:rPr>
          <w:rFonts w:hint="eastAsia" w:ascii="仿宋_GB2312" w:hAnsi="仿宋_GB2312" w:eastAsia="仿宋_GB2312" w:cs="仿宋_GB2312"/>
          <w:spacing w:val="-6"/>
          <w:sz w:val="32"/>
          <w:szCs w:val="32"/>
        </w:rPr>
        <w:t>以实施清新空气示范区创建工程为依托，组织开展环境敏感型产业专项研究，支持研究人员以洋县为案例开展深入研究，鼓励研究人员利用专业期刊、学术会议、新闻媒体、自媒体等发表相关成果。联合高校、国家级协会编制环境敏感型产业白皮书，发布环境敏感型产业最佳地理区位评价，举办中国（洋县）环境敏感型产业高峰论坛，不断向国内外环境敏感型企业推介洋县清新的空气、清澈的水质和清洁的环境，把洋县打造成为环境敏感型产业向西部地区转移的重要目的地。</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编制环境敏感型产业树全景图。</w:t>
      </w:r>
      <w:r>
        <w:rPr>
          <w:rFonts w:hint="eastAsia" w:ascii="仿宋_GB2312" w:hAnsi="仿宋_GB2312" w:eastAsia="仿宋_GB2312" w:cs="仿宋_GB2312"/>
          <w:spacing w:val="-6"/>
          <w:sz w:val="32"/>
          <w:szCs w:val="32"/>
        </w:rPr>
        <w:t>瞄准数字经济、洁净医药、电子元器件等高度依赖洁净水源、清洁空气、适宜气候的重点产业链，精准收集包括行业、专业园区、龙头企业、企业需求、产业政策及规划、产业投资机构（基金）、产业分析等与招商引资密切相关的信息，编制环境敏感型产业树全景图，建立重点项目库，编制环境敏感型产业招商路线图，对环境敏感型产业开展精准招商，着力推动生态优势转化为产业优势。</w:t>
      </w:r>
    </w:p>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赋能产业的联系通道顺利打通，生态价值“基准地价”评价体系建立运行，生态要素纳入产品和服务定价范围工作全面展开；洋县作为适宜发展环境敏感型产业集聚地的对外形象进一步树立，环境敏感型产业树全景图编制完成，按图索骥开展环境敏感型产业精准招商取得明显成效。</w:t>
      </w:r>
    </w:p>
    <w:bookmarkEnd w:id="153"/>
    <w:p>
      <w:pPr>
        <w:pStyle w:val="4"/>
        <w:widowControl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54" w:name="_Toc4389"/>
      <w:bookmarkStart w:id="155" w:name="_Toc133539477"/>
      <w:r>
        <w:rPr>
          <w:rFonts w:hint="eastAsia" w:ascii="楷体_GB2312" w:hAnsi="楷体_GB2312" w:eastAsia="楷体_GB2312" w:cs="楷体_GB2312"/>
          <w:b w:val="0"/>
          <w:spacing w:val="-6"/>
          <w:sz w:val="32"/>
          <w:szCs w:val="32"/>
        </w:rPr>
        <w:t>（四）</w:t>
      </w:r>
      <w:bookmarkStart w:id="156" w:name="_Hlk136967382"/>
      <w:bookmarkStart w:id="157" w:name="_Hlk152089514"/>
      <w:r>
        <w:rPr>
          <w:rFonts w:hint="eastAsia" w:ascii="楷体_GB2312" w:hAnsi="楷体_GB2312" w:eastAsia="楷体_GB2312" w:cs="楷体_GB2312"/>
          <w:b w:val="0"/>
          <w:spacing w:val="-6"/>
          <w:sz w:val="32"/>
          <w:szCs w:val="32"/>
        </w:rPr>
        <w:t>生态兴村富民通道打造工程</w:t>
      </w:r>
      <w:bookmarkEnd w:id="154"/>
      <w:bookmarkEnd w:id="155"/>
      <w:bookmarkEnd w:id="156"/>
    </w:p>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1.建设导向</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乡村地区“绿水青山”自然基础和“金山银山”潜在优势，以统筹推进生态产品价值实现和乡村振兴两大战略目标为导向，加快推进生态产品价值实现和乡村振兴相向赋能，构建生态赋能乡村产业发展新模式，探索生态富农惠农新途径，构筑乡村地区生态产品价值实现与乡村振兴协同发展新格局。</w:t>
      </w:r>
    </w:p>
    <w:p>
      <w:pPr>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2.建设举措</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探索生态赋能乡村产业发展新模式。</w:t>
      </w:r>
      <w:r>
        <w:rPr>
          <w:rFonts w:hint="eastAsia" w:ascii="仿宋_GB2312" w:hAnsi="仿宋_GB2312" w:eastAsia="仿宋_GB2312" w:cs="仿宋_GB2312"/>
          <w:spacing w:val="-6"/>
          <w:sz w:val="32"/>
          <w:szCs w:val="32"/>
        </w:rPr>
        <w:t>坚持生态为基，鼓励各乡镇依托优质的生态环境优势、产业基础和发展条件，因地制宜发展壮大乡村产业。鼓励马畅、谢村等乡镇依托生态优势，围绕米、果、菌、药、畜等五大农业支柱，大力发展有机产业，加快引进农业物联网、大数据、云平台等新兴技术，促进有机农业提质增效，打造“生态+有机农业+数字”的产业发展新模式。支持华阳、茅坪和八里关等北部乡镇借势华阳景区带来的客流，深入挖掘红色旅游和文化资源，开发乡村旅游产品，加快发展“生态+景区+旅游”融合新业态。引导金水、黄金峡等东部乡镇抢抓金水大峡谷景区和金水银滩度假区建设项目带来的机遇，深化美丽乡村建设，充分利用金水河畔的峡谷风光和自然生态优势，推进农业与旅游、文化、康养等产业融合发展，形成“生态+美丽乡村+乡村旅游”联动发展的新格局。结合陕西省数字乡村综合服务平台建设，鼓励各乡镇大力发展电商+农产品销售、电商+乡村旅游，培育“电商平台+合作社+农户”经营发展模式。</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探索生态富农惠农新途径。</w:t>
      </w:r>
      <w:r>
        <w:rPr>
          <w:rFonts w:hint="eastAsia" w:ascii="仿宋_GB2312" w:hAnsi="仿宋_GB2312" w:eastAsia="仿宋_GB2312" w:cs="仿宋_GB2312"/>
          <w:spacing w:val="-6"/>
          <w:sz w:val="32"/>
          <w:szCs w:val="32"/>
        </w:rPr>
        <w:t>推动农民组团式参与生态农产品直接交易，加快推进“米、果、药、菌、畜” 五大有机农业领域的专业合作社建设，进一步提升有机农业标准化、产业化水平，带动农民增收致富。鼓励农民积极参与生态产权交易，采用租赁、托管、股权合作、特许经营等形式合理流转自然资源资产产权，构建农户“拿现金、取分成、得租金、挣薪金、获股金”综合增收渠道。大力推广“整村推进”林权流转模式，鼓励农户以闲置坡地、林地入股国家储备林项目建设，带动农民增收。支持农民通过村集体组织、与新型农业经营主体合作以及借助中介服务体系等多种方式，实施社会化碳汇造林项目，积极参与碳汇交易，获取经济收益。探索实施单株碳汇精准扶贫项目，建立单株碳汇精准扶贫大数据平台建立数据库，组织开展农村低收入家庭林地统计、测算碳汇量、数据录入等工作，鼓励倡导社会个人、企事业单位和社会团体出资购买低收入家庭林地所生成的碳汇，购买资金全额进入贫困户个人银行账户。支持有条件的农民参与分布式沼气发电、屋顶光伏建设，积极申请CCER认证，参与碳交易，取得收入。</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探索生态金融产品服务惠农助农新渠道。</w:t>
      </w:r>
      <w:r>
        <w:rPr>
          <w:rFonts w:hint="eastAsia" w:ascii="仿宋_GB2312" w:hAnsi="仿宋_GB2312" w:eastAsia="仿宋_GB2312" w:cs="仿宋_GB2312"/>
          <w:spacing w:val="-6"/>
          <w:sz w:val="32"/>
          <w:szCs w:val="32"/>
        </w:rPr>
        <w:t>鼓励各类金融机构积极融入生态建设和生态产品价值实现工作大局，适时推出与生态产品价值核算相挂钩的生态金融产品和服务体系，实现GEP可质押、可变现、可融资。支持商业银行面向县内各乡镇适时推出以生态系统总价值为抵押的“</w:t>
      </w:r>
      <w:bookmarkStart w:id="158" w:name="_Hlk105859326"/>
      <w:r>
        <w:rPr>
          <w:rFonts w:hint="eastAsia" w:ascii="仿宋_GB2312" w:hAnsi="仿宋_GB2312" w:eastAsia="仿宋_GB2312" w:cs="仿宋_GB2312"/>
          <w:spacing w:val="-6"/>
          <w:sz w:val="32"/>
          <w:szCs w:val="32"/>
        </w:rPr>
        <w:t>生态贷”、“GEP贷”等信贷新产</w:t>
      </w:r>
      <w:bookmarkEnd w:id="158"/>
      <w:r>
        <w:rPr>
          <w:rFonts w:hint="eastAsia" w:ascii="仿宋_GB2312" w:hAnsi="仿宋_GB2312" w:eastAsia="仿宋_GB2312" w:cs="仿宋_GB2312"/>
          <w:spacing w:val="-6"/>
          <w:sz w:val="32"/>
          <w:szCs w:val="32"/>
        </w:rPr>
        <w:t>品，用于生态保护、有机产业培育与品牌经营、生态惠民与帮扶等领域。支持银行开展公益林补偿收益权质押贷款、林业碳汇预期收益权质押贷款、森林赎买抵押贷款，为林业大户、林业合作社等流动性需求提供资金保障。鼓励银行探索古树贷、古屋贷等抵质押贷款模式，为发展乡村旅游、改造提升生态环境提供资金。引导金融机构推出碳汇林保险产品，降低农民不确定性风险。推动成立洋县生态金融融资担保有限公司，为全县生态经济主体提供融资担保服务，为银行开展金融创新提供保障。</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态兴村富民通道建设进展明显，“生态+有机农业+数字”、“生态+景区+旅游”、“生态+美丽乡村+乡村旅游”、“电商平台+合作社+农户”等生态赋能乡村产业发展模式成效凸显；农民参与生态产权交易积极性显著增强，林权流转“整村推进”顺利开展，农民通过参与碳汇交易获得明显的经济效益；与生态产品价值核算相挂钩的生态金融产品和服务体系已经建立，生态贷”、“GEP贷”等信贷新产品顺利运营。到2025年，全县农村居民人均可支配收入达16000元以上。</w:t>
      </w:r>
    </w:p>
    <w:bookmarkEnd w:id="157"/>
    <w:p>
      <w:pPr>
        <w:pStyle w:val="3"/>
        <w:spacing w:before="0" w:after="0" w:line="580" w:lineRule="exact"/>
        <w:ind w:firstLine="616" w:firstLineChars="200"/>
        <w:rPr>
          <w:rFonts w:ascii="黑体" w:hAnsi="黑体" w:eastAsia="黑体" w:cs="黑体"/>
          <w:b w:val="0"/>
          <w:bCs w:val="0"/>
          <w:spacing w:val="-6"/>
          <w:sz w:val="32"/>
          <w:szCs w:val="32"/>
        </w:rPr>
      </w:pPr>
      <w:bookmarkStart w:id="159" w:name="_Toc14875"/>
      <w:bookmarkStart w:id="160" w:name="_Toc133539478"/>
      <w:r>
        <w:rPr>
          <w:rFonts w:hint="eastAsia" w:ascii="黑体" w:hAnsi="黑体" w:eastAsia="黑体" w:cs="黑体"/>
          <w:b w:val="0"/>
          <w:bCs w:val="0"/>
          <w:spacing w:val="-6"/>
          <w:sz w:val="32"/>
          <w:szCs w:val="32"/>
        </w:rPr>
        <w:t>七、</w:t>
      </w:r>
      <w:bookmarkStart w:id="161" w:name="_Hlk136968055"/>
      <w:bookmarkStart w:id="162" w:name="_Hlk152091319"/>
      <w:r>
        <w:rPr>
          <w:rFonts w:hint="eastAsia" w:ascii="黑体" w:hAnsi="黑体" w:eastAsia="黑体" w:cs="黑体"/>
          <w:b w:val="0"/>
          <w:bCs w:val="0"/>
          <w:spacing w:val="-6"/>
          <w:sz w:val="32"/>
          <w:szCs w:val="32"/>
        </w:rPr>
        <w:t>高起点打造重大功能平台</w:t>
      </w:r>
      <w:bookmarkEnd w:id="159"/>
      <w:bookmarkEnd w:id="160"/>
      <w:bookmarkEnd w:id="161"/>
      <w:r>
        <w:rPr>
          <w:rFonts w:hint="eastAsia" w:ascii="黑体" w:hAnsi="黑体" w:eastAsia="黑体" w:cs="黑体"/>
          <w:b w:val="0"/>
          <w:bCs w:val="0"/>
          <w:spacing w:val="-6"/>
          <w:sz w:val="32"/>
          <w:szCs w:val="32"/>
        </w:rPr>
        <w:t xml:space="preserve">     </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63" w:name="_Toc4372"/>
      <w:bookmarkStart w:id="164" w:name="_Toc133539479"/>
      <w:r>
        <w:rPr>
          <w:rFonts w:hint="eastAsia" w:ascii="楷体_GB2312" w:hAnsi="楷体_GB2312" w:eastAsia="楷体_GB2312" w:cs="楷体_GB2312"/>
          <w:b w:val="0"/>
          <w:spacing w:val="-6"/>
          <w:sz w:val="32"/>
          <w:szCs w:val="32"/>
        </w:rPr>
        <w:t>（一）</w:t>
      </w:r>
      <w:bookmarkStart w:id="165" w:name="_Hlk136968153"/>
      <w:r>
        <w:rPr>
          <w:rFonts w:hint="eastAsia" w:ascii="楷体_GB2312" w:hAnsi="楷体_GB2312" w:eastAsia="楷体_GB2312" w:cs="楷体_GB2312"/>
          <w:b w:val="0"/>
          <w:spacing w:val="-6"/>
          <w:sz w:val="32"/>
          <w:szCs w:val="32"/>
        </w:rPr>
        <w:t>国家特色高质有机食品生产基地</w:t>
      </w:r>
      <w:bookmarkEnd w:id="163"/>
      <w:bookmarkEnd w:id="164"/>
      <w:bookmarkEnd w:id="165"/>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有机产业载体建设，充分利用信息技术和智能技术，全面推动五大产业的产业链、创新链和价值链升级发展，实施优良种植工程，推动种植环节高效节能，提升加工技术水平，推动加工精深发展，打造全链条有机高效产业。突出“生态绿色、优质高效”，创新发展生态农业、数字农业、品牌农业、农旅融合等四大示范模式，坚持扩基地、建园区、精加工、促营销，创品牌，推动特色高效生态农业示范基地建设，巩固“国家有机产品认证示范区”、“全国朱鹮生态保护产业知名品牌创建示范区”成果，力争2025年全县有机基地认证面积达到16万亩。</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构建全链化产业体系。</w:t>
      </w:r>
      <w:r>
        <w:rPr>
          <w:rFonts w:hint="eastAsia" w:ascii="仿宋_GB2312" w:hAnsi="仿宋_GB2312" w:eastAsia="仿宋_GB2312" w:cs="仿宋_GB2312"/>
          <w:spacing w:val="-6"/>
          <w:sz w:val="32"/>
          <w:szCs w:val="32"/>
        </w:rPr>
        <w:t>以有机产业为引领，做大做强“米、果、菌、药、畜”五大支柱产业，精心打造十个</w:t>
      </w:r>
      <w:r>
        <w:rPr>
          <w:rFonts w:hint="eastAsia" w:ascii="仿宋_GB2312" w:hAnsi="仿宋_GB2312" w:eastAsia="仿宋_GB2312" w:cs="仿宋_GB2312"/>
          <w:b/>
          <w:bCs/>
          <w:spacing w:val="-6"/>
          <w:sz w:val="32"/>
          <w:szCs w:val="32"/>
        </w:rPr>
        <w:t>有机产业标杆生产基地</w:t>
      </w:r>
      <w:r>
        <w:rPr>
          <w:rFonts w:hint="eastAsia" w:ascii="仿宋_GB2312" w:hAnsi="仿宋_GB2312" w:eastAsia="仿宋_GB2312" w:cs="仿宋_GB2312"/>
          <w:spacing w:val="-6"/>
          <w:sz w:val="32"/>
          <w:szCs w:val="32"/>
        </w:rPr>
        <w:t>，构建高效有机农业产业体系。</w:t>
      </w:r>
      <w:r>
        <w:rPr>
          <w:rFonts w:hint="eastAsia" w:ascii="仿宋_GB2312" w:hAnsi="仿宋_GB2312" w:eastAsia="仿宋_GB2312" w:cs="仿宋_GB2312"/>
          <w:b/>
          <w:bCs/>
          <w:spacing w:val="-6"/>
          <w:sz w:val="32"/>
          <w:szCs w:val="32"/>
        </w:rPr>
        <w:t>支持农业精品加工园区建设</w:t>
      </w:r>
      <w:r>
        <w:rPr>
          <w:rFonts w:hint="eastAsia" w:ascii="仿宋_GB2312" w:hAnsi="仿宋_GB2312" w:eastAsia="仿宋_GB2312" w:cs="仿宋_GB2312"/>
          <w:spacing w:val="-6"/>
          <w:sz w:val="32"/>
          <w:szCs w:val="32"/>
        </w:rPr>
        <w:t>，推动黑米、猕猴桃、黄金梨等一批代表性有机产品的产业链进一步深化。以“生态+”农业发展路径，</w:t>
      </w:r>
      <w:r>
        <w:rPr>
          <w:rFonts w:hint="eastAsia" w:ascii="仿宋_GB2312" w:hAnsi="仿宋_GB2312" w:eastAsia="仿宋_GB2312" w:cs="仿宋_GB2312"/>
          <w:b/>
          <w:bCs/>
          <w:spacing w:val="-6"/>
          <w:sz w:val="32"/>
          <w:szCs w:val="32"/>
        </w:rPr>
        <w:t>推动产业融合发展</w:t>
      </w:r>
      <w:r>
        <w:rPr>
          <w:rFonts w:hint="eastAsia" w:ascii="仿宋_GB2312" w:hAnsi="仿宋_GB2312" w:eastAsia="仿宋_GB2312" w:cs="仿宋_GB2312"/>
          <w:spacing w:val="-6"/>
          <w:sz w:val="32"/>
          <w:szCs w:val="32"/>
        </w:rPr>
        <w:t>，全力打造纸坊、龙亭、马畅特色有机小镇。</w:t>
      </w:r>
      <w:r>
        <w:rPr>
          <w:rFonts w:hint="eastAsia" w:ascii="仿宋_GB2312" w:hAnsi="仿宋_GB2312" w:eastAsia="仿宋_GB2312" w:cs="仿宋_GB2312"/>
          <w:b/>
          <w:bCs/>
          <w:spacing w:val="-6"/>
          <w:sz w:val="32"/>
          <w:szCs w:val="32"/>
        </w:rPr>
        <w:t>大力扶优扶强本土企业</w:t>
      </w:r>
      <w:r>
        <w:rPr>
          <w:rFonts w:hint="eastAsia" w:ascii="仿宋_GB2312" w:hAnsi="仿宋_GB2312" w:eastAsia="仿宋_GB2312" w:cs="仿宋_GB2312"/>
          <w:spacing w:val="-6"/>
          <w:sz w:val="32"/>
          <w:szCs w:val="32"/>
        </w:rPr>
        <w:t>，加大招商引资力度，大力培育和引进龙头企业，延长有机农产品加工链条，使以生产企业为单元的“小而全”发展模式向“长而专”的产业链分工协作方向转变。</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建设农业数字大脑</w:t>
      </w:r>
      <w:r>
        <w:rPr>
          <w:rFonts w:hint="eastAsia" w:ascii="仿宋_GB2312" w:hAnsi="仿宋_GB2312" w:eastAsia="仿宋_GB2312" w:cs="仿宋_GB2312"/>
          <w:spacing w:val="-6"/>
          <w:sz w:val="32"/>
          <w:szCs w:val="32"/>
        </w:rPr>
        <w:t>。加快乡村基础设施数字化转型、构建数字乡村发展信息化平台，建设乡村信息基础设施。夯实数字农业基础、打造数字农业园区、完善乡村流通服务体系、积极发展乡村新业态，提振乡村数字经济。推广智能化农机装备，实现“科技助农、数字强农”，实施有机高标准农田建设，至2024年，建设3个有机农业数字基地。</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制定体系化品控标准</w:t>
      </w:r>
      <w:r>
        <w:rPr>
          <w:rFonts w:hint="eastAsia" w:ascii="仿宋_GB2312" w:hAnsi="仿宋_GB2312" w:eastAsia="仿宋_GB2312" w:cs="仿宋_GB2312"/>
          <w:spacing w:val="-6"/>
          <w:sz w:val="32"/>
          <w:szCs w:val="32"/>
        </w:rPr>
        <w:t>。严格把关生态农产品质量，打造生态优质农产品建设基地。成立农业工程技术研究站，创新农技服务模式，加强技术指导，推广先进适用技术，提高产业发展效益。加快完善农产品溯源体系系统和农产品检验检测系统，健全“三品一标”、“一村一品”等基础数据库，记录农产品种植、加工、包装、检测、销售等关键环节信息，促进农产品生产标准化、规范化、安全化，积极发挥品牌效应。</w:t>
      </w:r>
    </w:p>
    <w:p>
      <w:pPr>
        <w:spacing w:line="580" w:lineRule="exact"/>
        <w:ind w:firstLine="616" w:firstLineChars="200"/>
        <w:rPr>
          <w:rFonts w:ascii="楷体_GB2312" w:hAnsi="楷体_GB2312" w:eastAsia="楷体_GB2312" w:cs="楷体_GB2312"/>
          <w:bCs/>
          <w:spacing w:val="-6"/>
          <w:sz w:val="32"/>
          <w:szCs w:val="32"/>
        </w:rPr>
      </w:pPr>
      <w:bookmarkStart w:id="166" w:name="_Toc133539480"/>
      <w:bookmarkStart w:id="167" w:name="_Toc23750"/>
      <w:r>
        <w:rPr>
          <w:rFonts w:hint="eastAsia" w:ascii="楷体_GB2312" w:hAnsi="楷体_GB2312" w:eastAsia="楷体_GB2312" w:cs="楷体_GB2312"/>
          <w:bCs/>
          <w:spacing w:val="-6"/>
          <w:sz w:val="32"/>
          <w:szCs w:val="32"/>
        </w:rPr>
        <w:t>（二）</w:t>
      </w:r>
      <w:bookmarkStart w:id="168" w:name="_Hlk136968192"/>
      <w:r>
        <w:rPr>
          <w:rFonts w:hint="eastAsia" w:ascii="楷体_GB2312" w:hAnsi="楷体_GB2312" w:eastAsia="楷体_GB2312" w:cs="楷体_GB2312"/>
          <w:bCs/>
          <w:spacing w:val="-6"/>
          <w:sz w:val="32"/>
          <w:szCs w:val="32"/>
        </w:rPr>
        <w:t>秦巴中医药产业谷</w:t>
      </w:r>
      <w:bookmarkEnd w:id="166"/>
      <w:bookmarkEnd w:id="167"/>
      <w:bookmarkEnd w:id="168"/>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整合洋县中医药资源优势，推动中药材种植养殖、生产加工、商贸流通、研发应用、健康服务等全产业链全面发展，形成聚拢周边县区药材资源的生产-加工-物流-营销集散中心。推动中医药产业链、价值链、创新链融合发展，优化种质资源，规范种植技术，建立有机中药种植标准化体系，加强中药品牌化建设，拓展中药产品谱系，做优中药加工产业链、做强中药流通价值链、做精中药产品创新链。打造一批特色鲜明的中医药产业集群，建设 一批“中医药+”新业态示范企业，把中医药产业打造成全县有机产业实现高质量发展的重要增长点。</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推动中药材标准化种养。</w:t>
      </w:r>
      <w:r>
        <w:rPr>
          <w:rFonts w:hint="eastAsia" w:ascii="仿宋_GB2312" w:hAnsi="仿宋_GB2312" w:eastAsia="仿宋_GB2312" w:cs="仿宋_GB2312"/>
          <w:spacing w:val="-6"/>
          <w:sz w:val="32"/>
          <w:szCs w:val="32"/>
        </w:rPr>
        <w:t>以北部和东部山区丘陵为重点，发展以厚朴、山茱萸、杜仲、银杏、为主的木本中药材；汉江两岸和南部山区主要发展元胡、附子、天麻、香橼、白芨等草本中药材以及油牡丹、茯苓等木本、真菌类中药材，按照GB/T19630-2019《有机产品生产、加工、标识与管理体系要求)》，建设特色中药材种植基地。创新“企业+合作社+基地”“企业+基地+农户”“委托种植+预付款”等中药材产销模式，推进药材种植标准化、规模化、规范化。</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推动中医药加工能力升级。</w:t>
      </w:r>
      <w:r>
        <w:rPr>
          <w:rFonts w:hint="eastAsia" w:ascii="仿宋_GB2312" w:hAnsi="仿宋_GB2312" w:eastAsia="仿宋_GB2312" w:cs="仿宋_GB2312"/>
          <w:spacing w:val="-6"/>
          <w:sz w:val="32"/>
          <w:szCs w:val="32"/>
        </w:rPr>
        <w:t>建设中医药生态循环加工园区，加大中药饮片与超微粉碎精细加工、包装生产线投入。整合洋县周边中药材产品资源，形成秦巴山区的现代中医药产业发展集群，鼓励企业新建现代化中药制药生产线，不断增强生产中药饮片、制剂生产能力。重点建设洋县中医药文化产业园、中医药深加工园等项目，对优质中药材进行产业化深加工。</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推动中医药产业品牌建设。</w:t>
      </w:r>
      <w:r>
        <w:rPr>
          <w:rFonts w:hint="eastAsia" w:ascii="仿宋_GB2312" w:hAnsi="仿宋_GB2312" w:eastAsia="仿宋_GB2312" w:cs="仿宋_GB2312"/>
          <w:spacing w:val="-6"/>
          <w:sz w:val="32"/>
          <w:szCs w:val="32"/>
        </w:rPr>
        <w:t>加强产品认证工作，引入、培育、扶植一批中医药加工龙头企业，建立集中医药文化、中医药产品、中医药技术体验等为一体的综合性展博展销中心。制定品牌发展规划，树立质量标杆意识，突出有机、绿色、优质的优势，建立洋县有机中药材地域特色品牌，开展“中医药服务提升行动”，打造中医名院、中医专科，形成一批配套完善的现代中医产业服务体系。</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推动中药联动物流仓储中心建设。</w:t>
      </w:r>
      <w:r>
        <w:rPr>
          <w:rFonts w:hint="eastAsia" w:ascii="仿宋_GB2312" w:hAnsi="仿宋_GB2312" w:eastAsia="仿宋_GB2312" w:cs="仿宋_GB2312"/>
          <w:spacing w:val="-6"/>
          <w:sz w:val="32"/>
          <w:szCs w:val="32"/>
        </w:rPr>
        <w:t>聚合秦巴腹地天然中药资源，打通周边县区道路塞口，进一步加强市场改造提升，建设功能明确的物流市场、仓储库房、配送中心、信息中心和停车场等。建设中药材交易市场，搭建“线上+线下”交易平台，按照中心市场、产区市场和产地市场分类，合理建设一批秦巴中药材展博馆、种子种苗经营中心、专卖店等中药材交易市场，推动形成中医药产业供销网络，打造集产品展博、供应销售、行业交流、仓储物流等功能于一体的西部现代化中医药交易集散地。</w:t>
      </w:r>
    </w:p>
    <w:p>
      <w:pPr>
        <w:spacing w:line="580" w:lineRule="exact"/>
        <w:ind w:firstLine="616" w:firstLineChars="200"/>
        <w:rPr>
          <w:rFonts w:ascii="楷体_GB2312" w:hAnsi="楷体_GB2312" w:eastAsia="楷体_GB2312" w:cs="楷体_GB2312"/>
          <w:bCs/>
          <w:spacing w:val="-6"/>
          <w:sz w:val="32"/>
          <w:szCs w:val="32"/>
        </w:rPr>
      </w:pPr>
      <w:bookmarkStart w:id="169" w:name="_Toc30027"/>
      <w:bookmarkStart w:id="170" w:name="_Toc133539481"/>
      <w:r>
        <w:rPr>
          <w:rFonts w:hint="eastAsia" w:ascii="楷体_GB2312" w:hAnsi="楷体_GB2312" w:eastAsia="楷体_GB2312" w:cs="楷体_GB2312"/>
          <w:bCs/>
          <w:spacing w:val="-6"/>
          <w:sz w:val="32"/>
          <w:szCs w:val="32"/>
        </w:rPr>
        <w:t>（三）</w:t>
      </w:r>
      <w:bookmarkStart w:id="171" w:name="_Hlk136968311"/>
      <w:r>
        <w:rPr>
          <w:rFonts w:hint="eastAsia" w:ascii="楷体_GB2312" w:hAnsi="楷体_GB2312" w:eastAsia="楷体_GB2312" w:cs="楷体_GB2312"/>
          <w:bCs/>
          <w:spacing w:val="-6"/>
          <w:sz w:val="32"/>
          <w:szCs w:val="32"/>
        </w:rPr>
        <w:t>陕西生态康养特色小镇</w:t>
      </w:r>
      <w:bookmarkEnd w:id="169"/>
      <w:bookmarkEnd w:id="170"/>
      <w:bookmarkEnd w:id="171"/>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宜农则农、宜游则游、宜药则药差异化发展总体导向，打造一批产业、生态、旅游、文化和社区功能深度融合康养小镇，串珠成链，带动洋县形成以健康产业为核心，集健康养生、养老、运动休闲、旅游研学等于一体的特色康养产业。</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统筹推进特色小镇建设。</w:t>
      </w:r>
      <w:r>
        <w:rPr>
          <w:rFonts w:hint="eastAsia" w:ascii="仿宋_GB2312" w:hAnsi="仿宋_GB2312" w:eastAsia="仿宋_GB2312" w:cs="仿宋_GB2312"/>
          <w:spacing w:val="-6"/>
          <w:sz w:val="32"/>
          <w:szCs w:val="32"/>
        </w:rPr>
        <w:t>以朱鹮梨园景区、华阳景区、金水大峡谷、龙亭田园综合体等核心资源为依托，统筹推进朱鹮养心谷、华阳医药谷、金水休闲运动谷、窑坪森林养生谷、龙亭休闲农业康养谷等一批特色康养小镇建设，引导各特色小镇找准找实发展定位，强化特色产业支撑，科学布局用地空间，合理划分文化、旅游、生态、康养等功能分区，做到“产、城、人、文、景”五位一体，形成与周边环境、农村产业、乡村建设协调发展的格局。</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建立利益联结机制。</w:t>
      </w:r>
      <w:r>
        <w:rPr>
          <w:rFonts w:hint="eastAsia" w:ascii="仿宋_GB2312" w:hAnsi="仿宋_GB2312" w:eastAsia="仿宋_GB2312" w:cs="仿宋_GB2312"/>
          <w:spacing w:val="-6"/>
          <w:sz w:val="32"/>
          <w:szCs w:val="32"/>
        </w:rPr>
        <w:t>引入大型旅游公司和有实力的旅游地产开发商开发建设特色小镇，形成带动龙头。以金水大峡谷景区周边的草坝河村、碗牛坝村、野庙沟村、周家台村、稻田坝村、张家庄村为试点，构建“村企合资”联动运营机制，支持以村民参股、集体资产入股等方式组建股份公司，通过参股方式参与特色小镇开发建设、运营管理，支持试点村加快乡村土地流转，促进农业规模化生产，通过发展休闲农业共享特色小镇建设带来的红利。鼓励利用闲置农居、学校、供销社等房产资源，开办民宿、农家乐以及农村电商服务点，培育“农创客”、“新农人”，带动村民及周边地区村民就近就业。</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培育康养特色小镇公共品牌。</w:t>
      </w:r>
      <w:r>
        <w:rPr>
          <w:rFonts w:hint="eastAsia" w:ascii="仿宋_GB2312" w:hAnsi="仿宋_GB2312" w:eastAsia="仿宋_GB2312" w:cs="仿宋_GB2312"/>
          <w:spacing w:val="-6"/>
          <w:sz w:val="32"/>
          <w:szCs w:val="32"/>
        </w:rPr>
        <w:t>围绕“朱鹮之乡、华阳长青、蔡伦文化、有机农业、生态洋县”等核心价值品牌，以康养服务需求较大的西安、成都等大城市为主要市场，组织开展自然疗养、自然体验、自然教育等康养活动，通过举办节庆、自媒体营销等措施，不断强化“呼氧气、住民宿、观珍禽、赏梨花、采果蔬、闻乡土”的对外形象，打造区域特征明显的康养特色小镇公共品牌。</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积极创建国家特色小镇。</w:t>
      </w:r>
      <w:r>
        <w:rPr>
          <w:rFonts w:hint="eastAsia" w:ascii="仿宋_GB2312" w:hAnsi="仿宋_GB2312" w:eastAsia="仿宋_GB2312" w:cs="仿宋_GB2312"/>
          <w:spacing w:val="-6"/>
          <w:sz w:val="32"/>
          <w:szCs w:val="32"/>
        </w:rPr>
        <w:t>对标《全国特色小镇规范健康发展导则》，围绕空间布局、质量效益等指标要求，出台鼓励政策，支持朱鹮养心谷创建国家特色小镇 。</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72" w:name="_Toc91449938"/>
      <w:bookmarkStart w:id="173" w:name="_Toc133539482"/>
      <w:bookmarkStart w:id="174" w:name="_Toc12447"/>
      <w:r>
        <w:rPr>
          <w:rFonts w:hint="eastAsia" w:ascii="楷体_GB2312" w:hAnsi="楷体_GB2312" w:eastAsia="楷体_GB2312" w:cs="楷体_GB2312"/>
          <w:b w:val="0"/>
          <w:spacing w:val="-6"/>
          <w:sz w:val="32"/>
          <w:szCs w:val="32"/>
        </w:rPr>
        <w:t>（四）</w:t>
      </w:r>
      <w:bookmarkEnd w:id="172"/>
      <w:bookmarkStart w:id="175" w:name="_Hlk136968379"/>
      <w:r>
        <w:rPr>
          <w:rFonts w:hint="eastAsia" w:ascii="楷体_GB2312" w:hAnsi="楷体_GB2312" w:eastAsia="楷体_GB2312" w:cs="楷体_GB2312"/>
          <w:b w:val="0"/>
          <w:spacing w:val="-6"/>
          <w:sz w:val="32"/>
          <w:szCs w:val="32"/>
        </w:rPr>
        <w:t>两山生态资源资产</w:t>
      </w:r>
      <w:bookmarkEnd w:id="173"/>
      <w:bookmarkEnd w:id="174"/>
      <w:bookmarkEnd w:id="175"/>
      <w:r>
        <w:rPr>
          <w:rFonts w:hint="eastAsia" w:ascii="楷体_GB2312" w:hAnsi="楷体_GB2312" w:eastAsia="楷体_GB2312" w:cs="楷体_GB2312"/>
          <w:b w:val="0"/>
          <w:spacing w:val="-6"/>
          <w:sz w:val="32"/>
          <w:szCs w:val="32"/>
        </w:rPr>
        <w:t>经营有限公司</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紧扣“绿水青山就是金山银山”的发展理念，以探索秦岭“两山转化”新路径和新模式为导向，有效构建政府引导、企业和社会各界参与、市场化运作的生态资源资产运营开发体系，进一步拓宽“两山”转化通道，促进生态产品价值高效转化，激发乡村产业发展新动能，为秦岭地区打造生态文明建设高地提供有力支撑。</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搭建专业运营平台。</w:t>
      </w:r>
      <w:r>
        <w:rPr>
          <w:rFonts w:hint="eastAsia" w:ascii="仿宋_GB2312" w:hAnsi="仿宋_GB2312" w:eastAsia="仿宋_GB2312" w:cs="仿宋_GB2312"/>
          <w:spacing w:val="-6"/>
          <w:sz w:val="32"/>
          <w:szCs w:val="32"/>
        </w:rPr>
        <w:t>稳步推进洋县两山生态资源资产经营有限公司实体化运行，加快培育产权收储、资源提升、资产评估、资产运营、市场交易等功能，构建县域生态资源资产运营管理体系。推进各乡镇设立“两山生态资源运营管理”公司的子公司或分公司，作为自然资源相关权益流转的储备库、自然资源市场化运营和开发的主体。建立运营机制，加快构建生态资源“调查—评估—管控—流转—储备—策划—提升—开发—监管”的全过程工作机制。加强与金融机构、融资担保机构深度联动，构建资产储备—融资担保—价值实现高效转化机制。建立完善“利息+分红”回馈机制，激励各类主体将资源资产存入“洋县两山生态资源运营管理公司”。</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夯实生态资源资产运营前端基础。</w:t>
      </w:r>
      <w:r>
        <w:rPr>
          <w:rFonts w:hint="eastAsia" w:ascii="仿宋_GB2312" w:hAnsi="仿宋_GB2312" w:eastAsia="仿宋_GB2312" w:cs="仿宋_GB2312"/>
          <w:spacing w:val="-6"/>
          <w:sz w:val="32"/>
          <w:szCs w:val="32"/>
        </w:rPr>
        <w:t>清查全县各类生态资源，明确所有权主体。依托多规合一、GEP数字化系统等载体，整合全县相关资源资产，建立洋县自然资源资产管理大数据平台，全面摸清绿色家底。依托大数据平台，形成可视化的县自然资源资产底图，根据生态转化进展动态更新调整，加强对自然资源资产的监测和管理。结合GEP数字化系统，制定和完善各类资源资产评估标准，对全县可供开发的自然资源资产进行价值评估，由“洋县两山生态资源运营管理公司”统一流转或授权流转，并加强规划和用地指标管控，避免无序开发。</w:t>
      </w:r>
    </w:p>
    <w:p>
      <w:pPr>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探索推进体制机制创新。</w:t>
      </w:r>
      <w:r>
        <w:rPr>
          <w:rFonts w:hint="eastAsia" w:ascii="仿宋_GB2312" w:hAnsi="仿宋_GB2312" w:eastAsia="仿宋_GB2312" w:cs="仿宋_GB2312"/>
          <w:spacing w:val="-6"/>
          <w:sz w:val="32"/>
          <w:szCs w:val="32"/>
        </w:rPr>
        <w:t>深入推进绿色金融改革，紧抓“标准、产品、政策、流程”四大核心要素，进一步加大创新力度，推动绿色信贷、绿色保险产品创新，探索推进生态资源资产证券化、扩大贷款抵质押担保物范围。鼓励政策性银行和商业银行以生态产品价值核算结果为参考提供授信额度。探索推进农村宅基地制度改革，积极开展宅基地和农房“活权”改革，激活宅基地和农房资源的生产力，建立完善县农村产权交易中心。深入推进农村集体产权制度改革，在清产核资摸清家底，明确集体资产所有权前提下，扎实做好集体资产折股量化，推进集体资产股权占有、收益、抵押、担保、继承、有偿退出等权能实现和利益兑现。稳定有序开展农村集体经营性建设用地入市，推进集体建设用地使用权转让、租赁、入股、抵押等交易。</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76" w:name="_Toc133539483"/>
      <w:bookmarkStart w:id="177" w:name="_Toc18670"/>
      <w:r>
        <w:rPr>
          <w:rFonts w:hint="eastAsia" w:ascii="楷体_GB2312" w:hAnsi="楷体_GB2312" w:eastAsia="楷体_GB2312" w:cs="楷体_GB2312"/>
          <w:b w:val="0"/>
          <w:spacing w:val="-6"/>
          <w:sz w:val="32"/>
          <w:szCs w:val="32"/>
        </w:rPr>
        <w:t>（五）</w:t>
      </w:r>
      <w:bookmarkStart w:id="178" w:name="_Toc91449937"/>
      <w:r>
        <w:rPr>
          <w:rFonts w:hint="eastAsia" w:ascii="楷体_GB2312" w:hAnsi="楷体_GB2312" w:eastAsia="楷体_GB2312" w:cs="楷体_GB2312"/>
          <w:b w:val="0"/>
          <w:spacing w:val="-6"/>
          <w:sz w:val="32"/>
          <w:szCs w:val="32"/>
        </w:rPr>
        <w:t>秦岭生态产品交易中心</w:t>
      </w:r>
      <w:bookmarkEnd w:id="176"/>
      <w:bookmarkEnd w:id="177"/>
      <w:bookmarkEnd w:id="178"/>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围绕国家和陕西</w:t>
      </w:r>
      <w:r>
        <w:rPr>
          <w:rFonts w:hint="eastAsia" w:ascii="仿宋_GB2312" w:hAnsi="仿宋_GB2312" w:eastAsia="仿宋_GB2312" w:cs="仿宋_GB2312"/>
          <w:spacing w:val="-6"/>
          <w:sz w:val="32"/>
          <w:szCs w:val="32"/>
          <w:lang w:eastAsia="zh-CN"/>
        </w:rPr>
        <w:t>省委、省政府</w:t>
      </w:r>
      <w:r>
        <w:rPr>
          <w:rFonts w:hint="eastAsia" w:ascii="仿宋_GB2312" w:hAnsi="仿宋_GB2312" w:eastAsia="仿宋_GB2312" w:cs="仿宋_GB2312"/>
          <w:spacing w:val="-6"/>
          <w:sz w:val="32"/>
          <w:szCs w:val="32"/>
        </w:rPr>
        <w:t>关于建立健全生态产品价值实现机制要求，按照线上线下相结合原则，加快搭建生态产品线上交易门户网站，适时建设生态产品展览展示交易基地，为生态产品交易市场各方主体提供专业可靠的服务，促进生态产品供需精准对接，打造具有全国影响力的生态产品与资源环境权益综合交易中心。</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搭建生态产品线上交易门户网站。</w:t>
      </w:r>
      <w:r>
        <w:rPr>
          <w:rFonts w:hint="eastAsia" w:ascii="仿宋_GB2312" w:hAnsi="仿宋_GB2312" w:eastAsia="仿宋_GB2312" w:cs="仿宋_GB2312"/>
          <w:spacing w:val="-6"/>
          <w:sz w:val="32"/>
          <w:szCs w:val="32"/>
        </w:rPr>
        <w:t>以推动秦岭地区优质生态要素货币化为导向，主动对接国内有影响力的资产交易类中介机构，联合组建综合管理平台公司，加快建设互联网+、云计算等信息技术为支撑，联通供需、标准统一、信息共享的交易平台体系，采用云计算技术设计包括数据层、系统功能层、应用层、场景层等一体化平台架构，提供生态产品发布管理、智慧交易管理、智慧征信管理、供应链金融管理等核心功能，打造功能强大、安全高效、界面友好的网络交易系统。</w:t>
      </w:r>
    </w:p>
    <w:p>
      <w:pPr>
        <w:spacing w:line="580" w:lineRule="exact"/>
        <w:ind w:firstLine="600"/>
        <w:rPr>
          <w:rFonts w:ascii="仿宋" w:hAnsi="仿宋" w:eastAsia="仿宋" w:cs="仿宋"/>
          <w:b/>
          <w:bCs/>
          <w:sz w:val="32"/>
          <w:szCs w:val="32"/>
        </w:rPr>
      </w:pPr>
      <w:r>
        <w:rPr>
          <w:rFonts w:hint="eastAsia" w:ascii="仿宋_GB2312" w:hAnsi="仿宋_GB2312" w:eastAsia="仿宋_GB2312" w:cs="仿宋_GB2312"/>
          <w:b/>
          <w:bCs/>
          <w:spacing w:val="-6"/>
          <w:sz w:val="32"/>
          <w:szCs w:val="32"/>
        </w:rPr>
        <w:t>探索生态产权线上交易模式。</w:t>
      </w:r>
      <w:r>
        <w:rPr>
          <w:rFonts w:hint="eastAsia" w:ascii="仿宋_GB2312" w:hAnsi="仿宋_GB2312" w:eastAsia="仿宋_GB2312" w:cs="仿宋_GB2312"/>
          <w:spacing w:val="-6"/>
          <w:sz w:val="32"/>
          <w:szCs w:val="32"/>
        </w:rPr>
        <w:t>以生态产品网上交易系统为依托，重点设置林业碳汇、用能权、水权、矿业权等多种生态产品交易信息，积极探索挂单审核、限价交易、竞拍交易、交易查询等多种交易形式，为秦岭地区各县市的集体林权、土地承包经营权、用能权、水权、排污权、碳排放权等具有明晰产权的生态资产交易提供交易平台和窗口，促进生态产品高效交易。</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推动与主流电商平台建立接口。</w:t>
      </w:r>
      <w:r>
        <w:rPr>
          <w:rFonts w:hint="eastAsia" w:ascii="仿宋_GB2312" w:hAnsi="仿宋_GB2312" w:eastAsia="仿宋_GB2312" w:cs="仿宋_GB2312"/>
          <w:spacing w:val="-6"/>
          <w:sz w:val="32"/>
          <w:szCs w:val="32"/>
        </w:rPr>
        <w:t>以推动秦岭地区优质农副产品高效高价“出山”为导向，积极推动生态产品线上交易门户网站与京东、淘宝、抖音、快手等社交短视频、直播平台建立接口，接入生产过程云直播和产品线上销售直播，为扩大绿色优质农副产品交易提供支撑。</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启动生态产品展览展示交易中心建设。</w:t>
      </w:r>
      <w:r>
        <w:rPr>
          <w:rFonts w:hint="eastAsia" w:ascii="仿宋_GB2312" w:hAnsi="仿宋_GB2312" w:eastAsia="仿宋_GB2312" w:cs="仿宋_GB2312"/>
          <w:spacing w:val="-6"/>
          <w:sz w:val="32"/>
          <w:szCs w:val="32"/>
        </w:rPr>
        <w:t>依托洋县城西蔡伦广场，适时启动生态产品展览展示交易中心建设，加快打造洋县有机产品集中展示窗口，适时导入生态产权线下交易功能，积极引入会议论坛、博览会展功能，打造多功能集成的生态产品线下交易中心。</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79" w:name="_Toc91449939"/>
      <w:bookmarkStart w:id="180" w:name="_Toc22094"/>
      <w:bookmarkStart w:id="181" w:name="_Toc133539484"/>
      <w:r>
        <w:rPr>
          <w:rFonts w:hint="eastAsia" w:ascii="楷体_GB2312" w:hAnsi="楷体_GB2312" w:eastAsia="楷体_GB2312" w:cs="楷体_GB2312"/>
          <w:b w:val="0"/>
          <w:spacing w:val="-6"/>
          <w:sz w:val="32"/>
          <w:szCs w:val="32"/>
        </w:rPr>
        <w:t>（六）</w:t>
      </w:r>
      <w:bookmarkStart w:id="182" w:name="_Hlk136968694"/>
      <w:r>
        <w:rPr>
          <w:rFonts w:hint="eastAsia" w:ascii="楷体_GB2312" w:hAnsi="楷体_GB2312" w:eastAsia="楷体_GB2312" w:cs="楷体_GB2312"/>
          <w:b w:val="0"/>
          <w:spacing w:val="-6"/>
          <w:sz w:val="32"/>
          <w:szCs w:val="32"/>
        </w:rPr>
        <w:t>全国生物多样性保护示范区</w:t>
      </w:r>
      <w:bookmarkEnd w:id="179"/>
      <w:bookmarkEnd w:id="180"/>
      <w:bookmarkEnd w:id="181"/>
      <w:bookmarkEnd w:id="182"/>
      <w:r>
        <w:rPr>
          <w:rFonts w:hint="eastAsia" w:ascii="楷体_GB2312" w:hAnsi="楷体_GB2312" w:eastAsia="楷体_GB2312" w:cs="楷体_GB2312"/>
          <w:b w:val="0"/>
          <w:spacing w:val="-6"/>
          <w:sz w:val="32"/>
          <w:szCs w:val="32"/>
        </w:rPr>
        <w:t xml:space="preserve"> </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1.建设目标</w:t>
      </w:r>
    </w:p>
    <w:p>
      <w:pPr>
        <w:tabs>
          <w:tab w:val="left" w:pos="859"/>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立足“共建万物和谐的美丽家园”总体要求，主动对接国家林业</w:t>
      </w:r>
      <w:r>
        <w:rPr>
          <w:rFonts w:hint="eastAsia" w:ascii="仿宋_GB2312" w:hAnsi="仿宋_GB2312" w:eastAsia="仿宋_GB2312" w:cs="仿宋_GB2312"/>
          <w:spacing w:val="-6"/>
          <w:sz w:val="32"/>
          <w:szCs w:val="32"/>
          <w:lang w:val="en-US" w:eastAsia="zh-CN"/>
        </w:rPr>
        <w:t>和草原</w:t>
      </w:r>
      <w:r>
        <w:rPr>
          <w:rFonts w:hint="eastAsia" w:ascii="仿宋_GB2312" w:hAnsi="仿宋_GB2312" w:eastAsia="仿宋_GB2312" w:cs="仿宋_GB2312"/>
          <w:spacing w:val="-6"/>
          <w:sz w:val="32"/>
          <w:szCs w:val="32"/>
        </w:rPr>
        <w:t>局等相关部委，系统谋划、全面推进生物多样性保护工作，组织开展全域生物多样性调查工作，探索建立秦岭地区县域生物多样性法规、制度和标准体系，率先建立可考核评估的生物多样性指标体系，完善智能化生物多样性监测体系，有效提升生物多样性可持续利用水平，生物多样性得到切实保护，把洋县打造成为秦岭地区生物多样性保护工作样板和“全国生物多样性保护引领区”。</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2.建设重点</w:t>
      </w:r>
    </w:p>
    <w:p>
      <w:pPr>
        <w:tabs>
          <w:tab w:val="left" w:pos="859"/>
        </w:tabs>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开展洋县生物多样性摸底调查。</w:t>
      </w:r>
      <w:r>
        <w:rPr>
          <w:rFonts w:hint="eastAsia" w:ascii="仿宋_GB2312" w:hAnsi="仿宋_GB2312" w:eastAsia="仿宋_GB2312" w:cs="仿宋_GB2312"/>
          <w:spacing w:val="-6"/>
          <w:sz w:val="32"/>
          <w:szCs w:val="32"/>
        </w:rPr>
        <w:t>制定洋县生物多样性本底调查技术方案，及早组织开展全县生物多样性本底调查，查清野生维管植物、哺乳动物、鸟类、爬行动物、两栖动物、鱼类、大型真菌、主要资源昆虫的种类、分布和威胁因素，开展洋县生物多样性调查与编目工作。制定洋县特有物种、濒危物种名单，明确特有和濒危物种的种类、种群数量、分布和栖息地等信息，及时向社会公布。开展洋县遗传资源及相关传统知识调查、评估和编目工作，并开展案例研究。</w:t>
      </w:r>
    </w:p>
    <w:p>
      <w:pPr>
        <w:tabs>
          <w:tab w:val="left" w:pos="859"/>
        </w:tabs>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完善智能化生物多样性监测体系。</w:t>
      </w:r>
      <w:r>
        <w:rPr>
          <w:rFonts w:hint="eastAsia" w:ascii="仿宋_GB2312" w:hAnsi="仿宋_GB2312" w:eastAsia="仿宋_GB2312" w:cs="仿宋_GB2312"/>
          <w:spacing w:val="-6"/>
          <w:sz w:val="32"/>
          <w:szCs w:val="32"/>
        </w:rPr>
        <w:t>制定洋县生物多样性监测方案，合理布置植物监测样方、动物监测51样线、红外相机监测阵列、固定监测站，开展自然保护区、森林公园、湿地公园等优先区域及珍稀濒危物种集中分布地长期动态监测，形成全覆盖的监测、评估与预警体系。组织开展生物多样性调查和监测数据数字化、图片化工作，建设集数据采集、传输、存储、查询、展示等功能于一体的生物多样性数据库。整合林业、水利、保护区等相关部门生物多样性相关数据库，建立大数据信息资源科学管理、共享与开发应用为一体的信息平台。集成基础地理、土地利用、卫星遥感等多元异构数据资源，形成生物多样性监管“一张图”，为洋县生物多样性保护和管理提供决策支持。</w:t>
      </w:r>
    </w:p>
    <w:p>
      <w:pPr>
        <w:tabs>
          <w:tab w:val="left" w:pos="859"/>
        </w:tabs>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建立健全生物多样性政策法规体系。</w:t>
      </w:r>
      <w:r>
        <w:rPr>
          <w:rFonts w:hint="eastAsia" w:ascii="仿宋_GB2312" w:hAnsi="仿宋_GB2312" w:eastAsia="仿宋_GB2312" w:cs="仿宋_GB2312"/>
          <w:spacing w:val="-6"/>
          <w:sz w:val="32"/>
          <w:szCs w:val="32"/>
        </w:rPr>
        <w:t>编制《洋县生物多样性管理办法》，研究制定“保护区管理办法”“野生动物损害赔偿办法”“外来入侵物种管理办法”等规章制度。结合“美丽中国”建设中的生物多样性指标探索和洋县实际，建立表征生态环境质量状况的生物多样性评估指标体系，研究出台洋县生物多样性指数，推动生物多样性监测工作常态化。推动生物多样性保护与可持续利用相关内容纳入政府编制的相关规划，研究制定生物多样性保护成效评估和考核办法，将生物多样性保护指标纳入政府绩效考核体系。</w:t>
      </w:r>
    </w:p>
    <w:p>
      <w:pPr>
        <w:tabs>
          <w:tab w:val="left" w:pos="859"/>
        </w:tabs>
        <w:spacing w:line="58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提升生物多样性可持续利用水平。</w:t>
      </w:r>
      <w:r>
        <w:rPr>
          <w:rFonts w:hint="eastAsia" w:ascii="仿宋_GB2312" w:hAnsi="仿宋_GB2312" w:eastAsia="仿宋_GB2312" w:cs="仿宋_GB2312"/>
          <w:spacing w:val="-6"/>
          <w:sz w:val="32"/>
          <w:szCs w:val="32"/>
        </w:rPr>
        <w:t>抢抓国家植物园体系建设带来的战略机遇，主动对接国家林草局等相关部委，以长青国家级自然保护区为依托，对标国家植物园和华南国家植物园，积极推进秦岭国家植物园建设。依托华阳景区和华阳古镇，持续挖掘生物多样性资源和植物种质资源的旅游文化价值，积极推进百花园、百果园、百草园等项目建设，促进生物多样性保护与开发利用示范区协同发展。加大生态补偿力度，探索生物多样性丰富地区的生计替代模式，统筹生物多样性保护和乡村振兴。</w:t>
      </w:r>
    </w:p>
    <w:bookmarkEnd w:id="162"/>
    <w:p>
      <w:pPr>
        <w:pStyle w:val="3"/>
        <w:spacing w:before="0" w:after="0" w:line="580" w:lineRule="exact"/>
        <w:ind w:firstLine="616" w:firstLineChars="200"/>
        <w:rPr>
          <w:rFonts w:ascii="黑体" w:hAnsi="黑体" w:eastAsia="黑体" w:cs="黑体"/>
          <w:b w:val="0"/>
          <w:bCs w:val="0"/>
          <w:spacing w:val="-6"/>
          <w:sz w:val="32"/>
          <w:szCs w:val="32"/>
        </w:rPr>
      </w:pPr>
      <w:bookmarkStart w:id="183" w:name="_Toc19382"/>
      <w:bookmarkStart w:id="184" w:name="_Toc133539485"/>
      <w:r>
        <w:rPr>
          <w:rFonts w:hint="eastAsia" w:ascii="黑体" w:hAnsi="黑体" w:eastAsia="黑体" w:cs="黑体"/>
          <w:b w:val="0"/>
          <w:bCs w:val="0"/>
          <w:spacing w:val="-6"/>
          <w:sz w:val="32"/>
          <w:szCs w:val="32"/>
        </w:rPr>
        <w:t>八、</w:t>
      </w:r>
      <w:bookmarkStart w:id="185" w:name="_Hlk152092767"/>
      <w:bookmarkStart w:id="186" w:name="_Hlk136972641"/>
      <w:r>
        <w:rPr>
          <w:rFonts w:hint="eastAsia" w:ascii="黑体" w:hAnsi="黑体" w:eastAsia="黑体" w:cs="黑体"/>
          <w:b w:val="0"/>
          <w:bCs w:val="0"/>
          <w:spacing w:val="-6"/>
          <w:sz w:val="32"/>
          <w:szCs w:val="32"/>
        </w:rPr>
        <w:t>高水平示范生态产品价值实现机制</w:t>
      </w:r>
      <w:bookmarkEnd w:id="183"/>
      <w:bookmarkEnd w:id="184"/>
      <w:bookmarkEnd w:id="185"/>
    </w:p>
    <w:p>
      <w:pPr>
        <w:tabs>
          <w:tab w:val="left" w:pos="859"/>
        </w:tabs>
        <w:spacing w:line="580" w:lineRule="exact"/>
        <w:ind w:firstLine="616" w:firstLineChars="200"/>
        <w:rPr>
          <w:rFonts w:ascii="仿宋_GB2312" w:hAnsi="仿宋_GB2312" w:eastAsia="仿宋_GB2312" w:cs="仿宋_GB2312"/>
          <w:spacing w:val="-6"/>
          <w:sz w:val="32"/>
          <w:szCs w:val="32"/>
        </w:rPr>
      </w:pPr>
      <w:bookmarkStart w:id="187" w:name="_Hlk152092824"/>
      <w:r>
        <w:rPr>
          <w:rFonts w:hint="eastAsia" w:ascii="仿宋_GB2312" w:hAnsi="仿宋_GB2312" w:eastAsia="仿宋_GB2312" w:cs="仿宋_GB2312"/>
          <w:spacing w:val="-6"/>
          <w:sz w:val="32"/>
          <w:szCs w:val="32"/>
        </w:rPr>
        <w:t>围绕生态产业化和产业生态化总体要求，以体制机制改革创新为核心，夯实生态产品价值“基础性机制”，建设生态产品价值“主体性机制”，完善生态产品价值“激励性机制”，健全生态产品价值“支撑性机制”，为拓宽“两山”转化通道，促进生态惠农富农，加快把优质生态资源富集地打造成为新的增长极构筑制度保障。</w:t>
      </w:r>
    </w:p>
    <w:bookmarkEnd w:id="186"/>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88" w:name="_Toc29079"/>
      <w:bookmarkStart w:id="189" w:name="_Toc133539486"/>
      <w:r>
        <w:rPr>
          <w:rFonts w:hint="eastAsia" w:ascii="楷体_GB2312" w:hAnsi="楷体_GB2312" w:eastAsia="楷体_GB2312" w:cs="楷体_GB2312"/>
          <w:b w:val="0"/>
          <w:spacing w:val="-6"/>
          <w:sz w:val="32"/>
          <w:szCs w:val="32"/>
        </w:rPr>
        <w:t>（一）夯实生态产品价值“基础性机制”</w:t>
      </w:r>
      <w:bookmarkEnd w:id="188"/>
      <w:bookmarkEnd w:id="189"/>
    </w:p>
    <w:p>
      <w:pPr>
        <w:tabs>
          <w:tab w:val="left" w:pos="859"/>
        </w:tabs>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针对生态产品价值核算不明确、资源产权不明晰等基础问题，加快构筑生态产品核算机制、产权保障机制、生态保育机制，着力突破制约生态产品价值实现的制约瓶颈。</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w:t>
      </w:r>
      <w:bookmarkStart w:id="190" w:name="_Hlk136972692"/>
      <w:r>
        <w:rPr>
          <w:rFonts w:hint="eastAsia" w:ascii="仿宋_GB2312" w:hAnsi="仿宋_GB2312" w:eastAsia="仿宋_GB2312" w:cs="仿宋_GB2312"/>
          <w:b/>
          <w:bCs/>
          <w:spacing w:val="-6"/>
          <w:sz w:val="32"/>
          <w:szCs w:val="32"/>
        </w:rPr>
        <w:t>完善生态产品价值核算机制</w:t>
      </w:r>
      <w:bookmarkEnd w:id="190"/>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加快建立生态系统生产总值(GEP)核算标准体系。</w:t>
      </w:r>
      <w:r>
        <w:rPr>
          <w:rFonts w:hint="eastAsia" w:ascii="仿宋_GB2312" w:hAnsi="仿宋_GB2312" w:eastAsia="仿宋_GB2312" w:cs="仿宋_GB2312"/>
          <w:spacing w:val="-6"/>
          <w:sz w:val="32"/>
          <w:szCs w:val="32"/>
        </w:rPr>
        <w:t>根据洋县工农互动区、国家生态保护区、生态文旅融合发展区生态系统的功能属性，建立覆盖全县域生态系统价值核算标准体系。推进生态产品价值核算标准化。针对朱鹮自然保护区、长青自然保护区、汉江流域生态涵养区等不同生态系统功能属性，结合洋县“主平川、辅丘陵山区”发展格局，依托国内生态环境规划技术团队，从“田林山”产品供给、生态调节和文化服务三个方面，加快制定生态产品价值核算指标体系、算法、数据来源和统计口径等。强化生态产品价值核算科技支撑。借助汉中市生态环境监测网络，充分利用物联网、大数据、云计算、遥感影像等数字信息技术，建立部门协同的标准化核算数据监测体系，逐步建立洋县生态产品物质量和价值量的基础数据库。</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推动生态产品价值核算的结果应用。</w:t>
      </w:r>
      <w:r>
        <w:rPr>
          <w:rFonts w:hint="eastAsia" w:ascii="仿宋_GB2312" w:hAnsi="仿宋_GB2312" w:eastAsia="仿宋_GB2312" w:cs="仿宋_GB2312"/>
          <w:spacing w:val="-6"/>
          <w:sz w:val="32"/>
          <w:szCs w:val="32"/>
        </w:rPr>
        <w:t>加快制定《绿色发展考核评价体系》，推动生态产品评价进规划、进决策、进项目、进交易、进监测、进考核，将生态系统价值融入洋县发展考核指标，探索试行以生态产品价值考核结果为标准，挂钩用地、用能、排污等要素配置的奖惩机制，建立GDP和生态系统生产总值(GEP)协同增长的评级考核体系。完善考评工作机制。建立覆盖全县域的GEP综合考评体系，成立以县长为组长的GEP综合考评领导小组，组织开展县级部门和</w:t>
      </w:r>
      <w:r>
        <w:rPr>
          <w:rFonts w:hint="eastAsia" w:ascii="仿宋_GB2312" w:hAnsi="仿宋_GB2312" w:eastAsia="仿宋_GB2312" w:cs="仿宋_GB2312"/>
          <w:color w:val="000000" w:themeColor="text1"/>
          <w:spacing w:val="-6"/>
          <w:sz w:val="32"/>
          <w:szCs w:val="32"/>
        </w:rPr>
        <w:t>镇（街道）</w:t>
      </w:r>
      <w:r>
        <w:rPr>
          <w:rFonts w:hint="eastAsia" w:ascii="仿宋_GB2312" w:hAnsi="仿宋_GB2312" w:eastAsia="仿宋_GB2312" w:cs="仿宋_GB2312"/>
          <w:spacing w:val="-6"/>
          <w:sz w:val="32"/>
          <w:szCs w:val="32"/>
        </w:rPr>
        <w:t>的GEP综合考评，适时评估各区域的生态保护成效和生态产品价值。</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w:t>
      </w:r>
      <w:bookmarkStart w:id="191" w:name="_Hlk136972731"/>
      <w:r>
        <w:rPr>
          <w:rFonts w:hint="eastAsia" w:ascii="仿宋_GB2312" w:hAnsi="仿宋_GB2312" w:eastAsia="仿宋_GB2312" w:cs="仿宋_GB2312"/>
          <w:b/>
          <w:bCs/>
          <w:spacing w:val="-6"/>
          <w:sz w:val="32"/>
          <w:szCs w:val="32"/>
        </w:rPr>
        <w:t>健全自然资源产权制度</w:t>
      </w:r>
      <w:bookmarkEnd w:id="191"/>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完善自然资源资产产权体系。</w:t>
      </w:r>
      <w:r>
        <w:rPr>
          <w:rFonts w:hint="eastAsia" w:ascii="仿宋_GB2312" w:hAnsi="仿宋_GB2312" w:eastAsia="仿宋_GB2312" w:cs="仿宋_GB2312"/>
          <w:spacing w:val="-6"/>
          <w:sz w:val="32"/>
          <w:szCs w:val="32"/>
        </w:rPr>
        <w:t>丰富自然资源资产使用权类型，合理界定出让、转让、出租、抵押、入股等权利归属，深入推进“河权到户”改革、集体林地役权改革等产权改革工作，完善自然资源资产产权体系。落实承包土地所有权、承包权、经营权“三权分置”，深化宅基地所有权、资格权、使用权“三权分置”改革。</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加快自然资源统一确权登记。</w:t>
      </w:r>
      <w:r>
        <w:rPr>
          <w:rFonts w:hint="eastAsia" w:ascii="仿宋_GB2312" w:hAnsi="仿宋_GB2312" w:eastAsia="仿宋_GB2312" w:cs="仿宋_GB2312"/>
          <w:spacing w:val="-6"/>
          <w:sz w:val="32"/>
          <w:szCs w:val="32"/>
        </w:rPr>
        <w:t>有序推进统一确权登记，清晰界定自然资源资产产权主体，划清所有权和使用权边界。依托自然资源统一确权登记，明确秦岭、巴山、朱鹮保护区、长青自然保护区、汉江湿地等生态空间生态产品权利归属，进一步摸清洋县所拥有的自然资源资产存量及流量状况，做好各要素确权工作、明晰其产权边界，划定土地资源、水资源、森林资源等自然资源价值等级，编制洋县自然资源资产负债表。</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3.建立生态保育机制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完善资源节约机制。</w:t>
      </w:r>
      <w:r>
        <w:rPr>
          <w:rFonts w:hint="eastAsia" w:ascii="仿宋_GB2312" w:hAnsi="仿宋_GB2312" w:eastAsia="仿宋_GB2312" w:cs="仿宋_GB2312"/>
          <w:spacing w:val="-6"/>
          <w:sz w:val="32"/>
          <w:szCs w:val="32"/>
        </w:rPr>
        <w:t>牢固树立节约、高效利用生态资源的发展理念，加快推进洋县能源、水、土地资源总量和强度双控，严格落实节能审查制度。实行最严格水资源管理制度，实行水资源总量和强度双控，严控用水全过程管理，严格实行取水许可证制度。实行最严格的用地集约制度，建立节约集约用地评估考核机制，鼓励建设用地集约综合开发利用。</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建立完善生态保护机制</w:t>
      </w:r>
      <w:r>
        <w:rPr>
          <w:rFonts w:hint="eastAsia" w:ascii="仿宋_GB2312" w:hAnsi="仿宋_GB2312" w:eastAsia="仿宋_GB2312" w:cs="仿宋_GB2312"/>
          <w:spacing w:val="-6"/>
          <w:sz w:val="32"/>
          <w:szCs w:val="32"/>
        </w:rPr>
        <w:t>。建立以排污许可证为核心的环境监管制度，严格控制污水排放，加快实现固定污染源排污许可证全覆盖、全过程管理，严格保护洋县城供水水源地、水土保持等特殊功能的区域水资源安全。全面推行生活垃圾强制分类，构建生活垃圾源头减量、分类收运机制。严格建设用地土壤环境准入，坚守生态保护红线、环境质量底线、资源利用上线，认真落实土壤污染防治工作责任，深入实施土壤污染防治行动计划，严格落实朱鹮自然保护区、长青自然保护区、引汉济渭工程饮用水水源保护区等生态保护红线区管控。规范落实工业废弃物管控措施，加强农药化肥、畜禽粪便、塑料薄膜等农村面源污染治理，有效防控土壤污染风险。</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92" w:name="_Toc133539487"/>
      <w:bookmarkStart w:id="193" w:name="_Toc4508"/>
      <w:r>
        <w:rPr>
          <w:rFonts w:hint="eastAsia" w:ascii="楷体_GB2312" w:hAnsi="楷体_GB2312" w:eastAsia="楷体_GB2312" w:cs="楷体_GB2312"/>
          <w:b w:val="0"/>
          <w:spacing w:val="-6"/>
          <w:sz w:val="32"/>
          <w:szCs w:val="32"/>
        </w:rPr>
        <w:t>（二）建设生态产品价值“主体性机制”</w:t>
      </w:r>
      <w:bookmarkEnd w:id="192"/>
      <w:bookmarkEnd w:id="193"/>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以搭建“绿水青山”与“金山银山”转化桥梁为导向，完善资源转化机制，健全市场交易机制，建立生态公共品牌塑造机制，构筑生态产品价值“主体性机制”。</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1.完善资源转化机制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建立生态产品项目筛选机制。</w:t>
      </w:r>
      <w:r>
        <w:rPr>
          <w:rFonts w:hint="eastAsia" w:ascii="仿宋_GB2312" w:hAnsi="仿宋_GB2312" w:eastAsia="仿宋_GB2312" w:cs="仿宋_GB2312"/>
          <w:spacing w:val="-6"/>
          <w:sz w:val="32"/>
          <w:szCs w:val="32"/>
        </w:rPr>
        <w:t>立足洋县发展定位，研究制定《洋县生态产品项目指导目录》，明确重点项目领域。构建生态价值产品项目筛选指标体系和筛选细则，因地制宜布局低能耗、高附加值生态价值产品项目。积极引入优质生态价值产品投资机构、优秀运营管理团队，对自然资源进行开发利用，加快生态资源优势转化。</w:t>
      </w:r>
    </w:p>
    <w:p>
      <w:pPr>
        <w:tabs>
          <w:tab w:val="left" w:pos="859"/>
        </w:tabs>
        <w:spacing w:line="580" w:lineRule="exact"/>
        <w:ind w:firstLine="619" w:firstLineChars="200"/>
        <w:outlineLvl w:val="3"/>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积极争取与省级层面省属企业结对帮扶。</w:t>
      </w:r>
      <w:r>
        <w:rPr>
          <w:rFonts w:hint="eastAsia" w:ascii="仿宋_GB2312" w:hAnsi="仿宋_GB2312" w:eastAsia="仿宋_GB2312" w:cs="仿宋_GB2312"/>
          <w:spacing w:val="-6"/>
          <w:sz w:val="32"/>
          <w:szCs w:val="32"/>
        </w:rPr>
        <w:t>积极推动省属知名企业结对帮扶尧柏水泥、国恒机械、秦洋酒业、大咸德调味品、胜达电子等洋县当地企业，形成“一企一项目”的长效帮扶体系。广泛开展省属企业与洋县当地企业多领域、多方位的经济技术合作，鼓励企业科技人员、管理人员等高级人才交流轮换，积极引进省属企业先进的管理经验与生产技术，推动秦洋酒业、双亚粮油、志建药业、永辉农业等一批有机生产企业向标准化、集约化、产业化加速迈进。</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2.健全市场交易机制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加快生态环境交易市场建设。</w:t>
      </w:r>
      <w:r>
        <w:rPr>
          <w:rFonts w:hint="eastAsia" w:ascii="仿宋_GB2312" w:hAnsi="仿宋_GB2312" w:eastAsia="仿宋_GB2312" w:cs="仿宋_GB2312"/>
          <w:spacing w:val="-6"/>
          <w:sz w:val="32"/>
          <w:szCs w:val="32"/>
        </w:rPr>
        <w:t>探索建立洋县生态产权交易机制，制定政府管控或者限额设定制度，为开展绿化增量责任指标交易、清水增量责任指标交易、森林覆盖率等资源权益指标交易创造制度条件。根据洋县所拥有的生态环境资源优势，明确分类、分级生态资源，加快创建碳排放权交易、水权交易、林权交易、碳汇交易、用能权交易、污染排放权交易等环境产权综合交易市场，着力培育生态环境交易市场体系。推动洋县全县域开展排污权有偿使用和交易，探索建立生态产品与用水权、用能权、排污权、碳排放权等环境权益的兑换机制，开展碳汇资源调查研究，积极开发碳汇资源。探索开展碳汇产品展示和交易信息平台建设试点，选择碳汇潜力较大的区域开展碳汇项目基地建设，开展碳中和实践，注重碳产品供给能力和供给质量的提高，探索碳农场、碳农业发展新模式。</w:t>
      </w:r>
    </w:p>
    <w:p>
      <w:pPr>
        <w:tabs>
          <w:tab w:val="left" w:pos="859"/>
        </w:tabs>
        <w:overflowPunct w:val="0"/>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健全生态产品交易监管机制。</w:t>
      </w:r>
      <w:r>
        <w:rPr>
          <w:rFonts w:hint="eastAsia" w:ascii="仿宋_GB2312" w:hAnsi="仿宋_GB2312" w:eastAsia="仿宋_GB2312" w:cs="仿宋_GB2312"/>
          <w:spacing w:val="-6"/>
          <w:sz w:val="32"/>
          <w:szCs w:val="32"/>
        </w:rPr>
        <w:t>探索建立洋县生态产品交易市场定期检查制度，对碳排放权、用水权等环境权益进行合理审查，规范市场运行。建立生态产品项目年度抽检审查制度，针对重大项目，联合第三方单位对全过程进行严格审查。建立生态产品使用监督巡查制度，监督购买者在规定权限下对生态产品进行规范使用，防止因不规范和过度使用造成对自然资源的永久性破坏。建立公众参与监督制度，及时将交易单位、交易内容、交易规则等信息披露出来，开通公众意见反映渠道或窗口，及时反馈和处理公众提出的问题。建立生态产品质量追溯机制，对生态产品存在的质量问题开辟有效追溯渠道，健全生态产品交易全过程监督体系。</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3.建立生态公共品牌塑造机制</w:t>
      </w:r>
    </w:p>
    <w:p>
      <w:pPr>
        <w:tabs>
          <w:tab w:val="left" w:pos="859"/>
        </w:tabs>
        <w:overflowPunct w:val="0"/>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完善品牌设计机制。</w:t>
      </w:r>
      <w:r>
        <w:rPr>
          <w:rFonts w:hint="eastAsia" w:ascii="仿宋_GB2312" w:hAnsi="仿宋_GB2312" w:eastAsia="仿宋_GB2312" w:cs="仿宋_GB2312"/>
          <w:spacing w:val="-6"/>
          <w:sz w:val="32"/>
          <w:szCs w:val="32"/>
        </w:rPr>
        <w:t>积极探索建立洋县公共品牌设计机制，打造围绕朱鹮、大熊猫、金丝猴等独特动物资源品牌，围绕蔡伦造纸、谢村黄酒等特色文化资源品牌，围绕果、菌、药等有机资源品牌，形成品牌合力，提升洋县独特资源品牌形象。积极建立大数据品牌设计渠道，通过对海量用户偏好等画像分析，精准预测、设计客户需求产品。</w:t>
      </w:r>
    </w:p>
    <w:p>
      <w:pPr>
        <w:tabs>
          <w:tab w:val="left" w:pos="859"/>
        </w:tabs>
        <w:overflowPunct w:val="0"/>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健全品牌认证机制</w:t>
      </w:r>
      <w:r>
        <w:rPr>
          <w:rFonts w:hint="eastAsia" w:ascii="仿宋_GB2312" w:hAnsi="仿宋_GB2312" w:eastAsia="仿宋_GB2312" w:cs="仿宋_GB2312"/>
          <w:spacing w:val="-6"/>
          <w:sz w:val="32"/>
          <w:szCs w:val="32"/>
        </w:rPr>
        <w:t>。建立生态产品品牌认证体系，推进生态产品品牌认证工作。建立洋县生态产品品牌认证联盟，积极推动生态产品品牌认证国际、省际、市际互认，吸引国内外知名认证机构加入。</w:t>
      </w:r>
    </w:p>
    <w:p>
      <w:pPr>
        <w:pStyle w:val="4"/>
        <w:widowControl w:val="0"/>
        <w:overflowPunct w:val="0"/>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94" w:name="_Toc133539488"/>
      <w:bookmarkStart w:id="195" w:name="_Toc20679"/>
      <w:r>
        <w:rPr>
          <w:rFonts w:hint="eastAsia" w:ascii="楷体_GB2312" w:hAnsi="楷体_GB2312" w:eastAsia="楷体_GB2312" w:cs="楷体_GB2312"/>
          <w:b w:val="0"/>
          <w:spacing w:val="-6"/>
          <w:sz w:val="32"/>
          <w:szCs w:val="32"/>
        </w:rPr>
        <w:t>（三）完善生态产品价值“激励性机制”</w:t>
      </w:r>
      <w:bookmarkEnd w:id="194"/>
      <w:bookmarkEnd w:id="195"/>
    </w:p>
    <w:p>
      <w:pPr>
        <w:overflowPunct w:val="0"/>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洋县建设国家级生态产品供给基地建设中担负生态保护、水源涵养的艰巨任务，但发展空间有限、产业选择余地小等重大问题，加快完善金融支持机制、生态补偿机制与财政支持机制，构筑保障生态产品价值实现的有效的“激励性机制”。</w:t>
      </w:r>
    </w:p>
    <w:p>
      <w:pPr>
        <w:overflowPunct w:val="0"/>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1.完善金融支持机制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加强绿色金融产品供给。</w:t>
      </w:r>
      <w:r>
        <w:rPr>
          <w:rFonts w:hint="eastAsia" w:ascii="仿宋_GB2312" w:hAnsi="仿宋_GB2312" w:eastAsia="仿宋_GB2312" w:cs="仿宋_GB2312"/>
          <w:spacing w:val="-6"/>
          <w:sz w:val="32"/>
          <w:szCs w:val="32"/>
        </w:rPr>
        <w:t>完善洋县生态资源资产经营管理平台，提升对分散、零碎生态资源资产评估、打包、收储和风险监控的能力。创新绿色保险产品和服务，推进企业环境污染强制责任保险、大型环保及资源综合利用装备保险、绿色产业产品质量责任险等绿色保险发展，优先支撑有机产业、现代材料、生态文旅与康养服务保险服务供给。积极开展碳排放权质押、碳汇质押、碳账户、碳期货、碳期权等碳金融创新，以生态资产产权、收益权和碳汇权益等为抵押物的“生态贷”模式，探索“生态资产权益抵押+项目贷”模式，优先支持生态环境提升及绿色产业发展贷款。</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加强金融资源政策向农村倾斜</w:t>
      </w:r>
      <w:r>
        <w:rPr>
          <w:rFonts w:hint="eastAsia" w:ascii="仿宋_GB2312" w:hAnsi="仿宋_GB2312" w:eastAsia="仿宋_GB2312" w:cs="仿宋_GB2312"/>
          <w:spacing w:val="-6"/>
          <w:sz w:val="32"/>
          <w:szCs w:val="32"/>
        </w:rPr>
        <w:t>。健全农村金融服务体系，积极招引创业引导基金、双创孵化基金等机构落户洋县农村地区，加大对农村地区关于保险、投资理财等现代金融服务下沉力度。发挥政策性、开放性金融机构的作用，引导强化金融机构支持农村一二三产业融合发展，发展农业保险，强化农村金融综合服务能力优化支持、扶持创业的金融、财政、土地等政策。</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2.完善生态补偿机制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科学确定补偿标准。</w:t>
      </w:r>
      <w:r>
        <w:rPr>
          <w:rFonts w:hint="eastAsia" w:ascii="仿宋_GB2312" w:hAnsi="仿宋_GB2312" w:eastAsia="仿宋_GB2312" w:cs="仿宋_GB2312"/>
          <w:spacing w:val="-6"/>
          <w:sz w:val="32"/>
          <w:szCs w:val="32"/>
        </w:rPr>
        <w:t>按照“保护者受益”的原则，明确洋县生态补偿对象，通过设立符合实际需要的生态公益岗位等方式，对主要提供生态产品地区的居民实施生态补偿，积极探索开展生态补偿资金到户试点。健全以生态环境要素为实施对象的分类补偿制度，围绕洋县山水林田草分类推进生态补偿。探索建立以“湿地-林地-田地”为基础的动态调整补偿机制，对朱鹮自然保护区、长青自然保护区、汉江流域生态涵养区等生态区提供科学化、统一化补偿标准。</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创新生态补偿方式。</w:t>
      </w:r>
      <w:r>
        <w:rPr>
          <w:rFonts w:hint="eastAsia" w:ascii="仿宋_GB2312" w:hAnsi="仿宋_GB2312" w:eastAsia="仿宋_GB2312" w:cs="仿宋_GB2312"/>
          <w:spacing w:val="-6"/>
          <w:sz w:val="32"/>
          <w:szCs w:val="32"/>
        </w:rPr>
        <w:t>创新探索秦岭生态保护区、朱鹮保护区各类保护主体的生态补偿方式，设立生态管护员、巡护员等生态公益岗位，提高生态保护个体收入水平。探索“亩均+”的生态公益林补偿机制，使生态补偿与生态产品贡献度相符合。积极推进汉江流域水资源收费标准提升和分成比例改革，探索按取水口以上流域面积、水质、水量等要素确定水资源费分成比例的模式。探索推进基于生态产品价值核算的生态占补平衡体系，通过税收或者赔偿的方式，将企业开发建设活动的生态负外部性纳入开发经营成本，明确损害赔偿范围、责任主体、解决途径，推进生态环境损害成本内部化。</w:t>
      </w:r>
    </w:p>
    <w:p>
      <w:pPr>
        <w:keepNext/>
        <w:keepLine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3.完善财政支持政策</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积极争取省级财政资金支持</w:t>
      </w:r>
      <w:r>
        <w:rPr>
          <w:rFonts w:hint="eastAsia" w:ascii="仿宋_GB2312" w:hAnsi="仿宋_GB2312" w:eastAsia="仿宋_GB2312" w:cs="仿宋_GB2312"/>
          <w:spacing w:val="-6"/>
          <w:sz w:val="32"/>
          <w:szCs w:val="32"/>
        </w:rPr>
        <w:t>。积极争取上级政府的生态补偿资金，积极争取加大陕西省对洋县地方政府开展生态保护、污染治理、节约集约能源、减少排放等带来的财政减收增支的财政补充资金。加大对国家“南水北调”中线工程、陕西“引汉济渭”工程饮用水水源保护区等重要生态保护红线区的生态补偿力度。</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完善环境税收政策。</w:t>
      </w:r>
      <w:r>
        <w:rPr>
          <w:rFonts w:hint="eastAsia" w:ascii="仿宋_GB2312" w:hAnsi="仿宋_GB2312" w:eastAsia="仿宋_GB2312" w:cs="仿宋_GB2312"/>
          <w:spacing w:val="-6"/>
          <w:sz w:val="32"/>
          <w:szCs w:val="32"/>
        </w:rPr>
        <w:t>加大《</w:t>
      </w:r>
      <w:r>
        <w:rPr>
          <w:rFonts w:hint="eastAsia" w:ascii="仿宋_GB2312" w:hAnsi="仿宋_GB2312" w:eastAsia="仿宋_GB2312" w:cs="仿宋_GB2312"/>
          <w:spacing w:val="-6"/>
          <w:sz w:val="32"/>
          <w:szCs w:val="32"/>
          <w:lang w:eastAsia="zh-CN"/>
        </w:rPr>
        <w:t>中华人民共和国环境保护税法</w:t>
      </w:r>
      <w:r>
        <w:rPr>
          <w:rFonts w:hint="eastAsia" w:ascii="仿宋_GB2312" w:hAnsi="仿宋_GB2312" w:eastAsia="仿宋_GB2312" w:cs="仿宋_GB2312"/>
          <w:spacing w:val="-6"/>
          <w:sz w:val="32"/>
          <w:szCs w:val="32"/>
        </w:rPr>
        <w:t>》宣传力度，引导企业积极落实各项节能减排措施，减少污染物排放量，通过排放达标享受环境保护税收优惠政策，降低企业税负。</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196" w:name="_Toc30983"/>
      <w:bookmarkStart w:id="197" w:name="_Toc133539489"/>
      <w:r>
        <w:rPr>
          <w:rFonts w:hint="eastAsia" w:ascii="楷体_GB2312" w:hAnsi="楷体_GB2312" w:eastAsia="楷体_GB2312" w:cs="楷体_GB2312"/>
          <w:b w:val="0"/>
          <w:spacing w:val="-6"/>
          <w:sz w:val="32"/>
          <w:szCs w:val="32"/>
        </w:rPr>
        <w:t>（四）健全生态产品价值“支撑性机制”</w:t>
      </w:r>
      <w:bookmarkEnd w:id="196"/>
      <w:bookmarkEnd w:id="197"/>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围绕生态产品价值实现必须的支撑性要素，加快完善“生态信用”机制，搭建数字平台运营机制，建立生态产品推广机制，为洋县生态产品价值实现注入新活力、新动力与新元素。</w:t>
      </w:r>
    </w:p>
    <w:p>
      <w:pPr>
        <w:tabs>
          <w:tab w:val="left" w:pos="859"/>
        </w:tabs>
        <w:spacing w:line="580" w:lineRule="exact"/>
        <w:ind w:firstLine="619"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1.完善“生态信用”机制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完善个人生态信用评价与应用体系。</w:t>
      </w:r>
      <w:r>
        <w:rPr>
          <w:rFonts w:hint="eastAsia" w:ascii="仿宋_GB2312" w:hAnsi="仿宋_GB2312" w:eastAsia="仿宋_GB2312" w:cs="仿宋_GB2312"/>
          <w:spacing w:val="-6"/>
          <w:sz w:val="32"/>
          <w:szCs w:val="32"/>
        </w:rPr>
        <w:t>加快修订《洋县生态信用行为正负面清单（试行）》，探索建立“生态信用”评价标准，其中正面清单包括生态保护、生态经营、绿色生活、生态文化、社会监督等五个维度，负面清单包括生态保护、生态治理、生态经营、环境管理、社会监督五个维度。将生态环境保护、生态环境污染、超过资源环境承载能力开发等行为纳入个人、企业信用评价范围，建立企业和个人的生态信用档案，建立生态信用守信激励、失信惩戒机制。</w:t>
      </w:r>
    </w:p>
    <w:p>
      <w:pPr>
        <w:tabs>
          <w:tab w:val="left" w:pos="859"/>
        </w:tabs>
        <w:spacing w:line="580" w:lineRule="exact"/>
        <w:ind w:firstLine="619" w:firstLineChars="200"/>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完善生态信用评价与应用体系</w:t>
      </w:r>
      <w:r>
        <w:rPr>
          <w:rFonts w:hint="eastAsia" w:ascii="仿宋_GB2312" w:hAnsi="仿宋_GB2312" w:eastAsia="仿宋_GB2312" w:cs="仿宋_GB2312"/>
          <w:spacing w:val="-6"/>
          <w:sz w:val="32"/>
          <w:szCs w:val="32"/>
        </w:rPr>
        <w:t>。广泛开展联合奖惩，深入推进企业环境信用评价和环境污染“红黑名单”制度，实施环保信用分级管理，积极探索与生态信用相挂钩的金融信贷、行政审批等奖惩联动机制，对生态信用高的企业给予优惠电价等奖励措施，对生态信用差的企业增加现场检查频次，完善信用积分增减机制。</w:t>
      </w:r>
    </w:p>
    <w:p>
      <w:pPr>
        <w:tabs>
          <w:tab w:val="left" w:pos="669"/>
        </w:tabs>
        <w:spacing w:line="580" w:lineRule="exact"/>
        <w:ind w:firstLine="619" w:firstLineChars="200"/>
        <w:jc w:val="left"/>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2.搭建数字平台运营机制</w:t>
      </w:r>
    </w:p>
    <w:p>
      <w:pPr>
        <w:tabs>
          <w:tab w:val="left" w:pos="669"/>
        </w:tabs>
        <w:spacing w:line="580" w:lineRule="exact"/>
        <w:ind w:firstLine="619" w:firstLineChars="200"/>
        <w:jc w:val="left"/>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加快建设先进数字基础设施。</w:t>
      </w:r>
      <w:r>
        <w:rPr>
          <w:rFonts w:hint="eastAsia" w:ascii="仿宋_GB2312" w:hAnsi="仿宋_GB2312" w:eastAsia="仿宋_GB2312" w:cs="仿宋_GB2312"/>
          <w:spacing w:val="-6"/>
          <w:sz w:val="32"/>
          <w:szCs w:val="32"/>
        </w:rPr>
        <w:t>坚持“补旧建新、适度超前”完善5G通信基站建设，加大宽带线路铺设，提高县乡居民互联网普及率，打造北部华阳景区、朱鹮梨园景区等“五园五区”通信专用通道，在华阳景区、朱鹮梨园景区、朱鹮观测站、蔡伦墓祠、旅游服务中心等核心区域建设集应急指挥中心、旅游导引、旅游信息服务、游客大数据分析、3D实景展示为一体的数字平台，优化网络拓扑，推动园区和企业进行数字化、网络化、智能化改造。加快建设洋县生态产品大数据中心，充分利用大数据、云计算、物联网等先进技术，结合构建GEP核算指标体系需求，将自然资源、林业、水利、气象等方面的基础数据，纳入国民经济和社会发展统计体系中。</w:t>
      </w:r>
    </w:p>
    <w:p>
      <w:pPr>
        <w:tabs>
          <w:tab w:val="left" w:pos="669"/>
        </w:tabs>
        <w:spacing w:line="580" w:lineRule="exact"/>
        <w:ind w:firstLine="619" w:firstLineChars="200"/>
        <w:jc w:val="left"/>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推进洋县智慧城市建设。</w:t>
      </w:r>
      <w:r>
        <w:rPr>
          <w:rFonts w:hint="eastAsia" w:ascii="仿宋_GB2312" w:hAnsi="仿宋_GB2312" w:eastAsia="仿宋_GB2312" w:cs="仿宋_GB2312"/>
          <w:spacing w:val="-6"/>
          <w:sz w:val="32"/>
          <w:szCs w:val="32"/>
        </w:rPr>
        <w:t>加快全县域云、网、端三级信息基础设施项目建设，推进云计算中心统筹布局、骨干网络扩容和信息资源整合共享，建立覆盖全业务、全流程的电子政务体系，建设空间地理、人口、法人单位等基础数据库，实现跨部门信息资源共享交换和业务协同。积极推进面向社会的公共服务平台建设、智慧安居服务、智慧教育文化服务、智慧服务应用、智慧健康保障体系建设、智慧交通、智慧安全防控系统建设、信息综合服务平台建设等相关服务设施建设。完善农村网络信息基础建设，全面实现乡村政务服务事项移动端处理。</w:t>
      </w:r>
    </w:p>
    <w:p>
      <w:pPr>
        <w:tabs>
          <w:tab w:val="left" w:pos="669"/>
        </w:tabs>
        <w:spacing w:line="580" w:lineRule="exact"/>
        <w:ind w:firstLine="619" w:firstLineChars="200"/>
        <w:jc w:val="left"/>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3.建立生态产品推广机制</w:t>
      </w:r>
    </w:p>
    <w:p>
      <w:pPr>
        <w:tabs>
          <w:tab w:val="left" w:pos="669"/>
        </w:tabs>
        <w:spacing w:line="580" w:lineRule="exact"/>
        <w:ind w:firstLine="619" w:firstLineChars="200"/>
        <w:jc w:val="left"/>
        <w:outlineLvl w:val="3"/>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积极创新媒体推广机制。</w:t>
      </w:r>
      <w:r>
        <w:rPr>
          <w:rFonts w:hint="eastAsia" w:ascii="仿宋_GB2312" w:hAnsi="仿宋_GB2312" w:eastAsia="仿宋_GB2312" w:cs="仿宋_GB2312"/>
          <w:spacing w:val="-6"/>
          <w:sz w:val="32"/>
          <w:szCs w:val="32"/>
        </w:rPr>
        <w:t>加快打造数字平台，搭建数字创新中心，构建数字应用场景，强化与中国科学院、中国环境科学研究院等国家科研机构合作交流，积极招引网易、阿里云、海康威视等国内互联网头部企业入驻。加快在抖音、“网红带货”、淘宝售货、VR数字展厅等线上新型模式，积极采取推广电商直播进农村、进农户。通过新闻媒体和互联网等渠道，加大生态产品宣传推广力度。</w:t>
      </w:r>
    </w:p>
    <w:p>
      <w:pPr>
        <w:tabs>
          <w:tab w:val="left" w:pos="669"/>
        </w:tabs>
        <w:spacing w:line="580" w:lineRule="exact"/>
        <w:ind w:firstLine="619"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加强活动推广机制。</w:t>
      </w:r>
      <w:r>
        <w:rPr>
          <w:rFonts w:hint="eastAsia" w:ascii="仿宋_GB2312" w:hAnsi="仿宋_GB2312" w:eastAsia="仿宋_GB2312" w:cs="仿宋_GB2312"/>
          <w:spacing w:val="-6"/>
          <w:sz w:val="32"/>
          <w:szCs w:val="32"/>
        </w:rPr>
        <w:t>积极争取定期举办生态产品推介博览会，组织开展生态产品线上云交易、云招商。加快建成洋县电子商务企业孵化园区，完善电商营销体系，开展有机产品、工业产品、新材料产品等电子商务，成立电子商务培训教育院，培训专业电商从业人员，提高电商服务能力。积极创办富有洋县特色的生态产品文化节，建立生态产品线下体验馆，举办“有机农产品”年货节、农业文创大赛等推广活动。</w:t>
      </w:r>
    </w:p>
    <w:bookmarkEnd w:id="187"/>
    <w:p>
      <w:pPr>
        <w:pStyle w:val="3"/>
        <w:spacing w:before="0" w:after="0" w:line="580" w:lineRule="exact"/>
        <w:ind w:firstLine="616" w:firstLineChars="200"/>
        <w:rPr>
          <w:rFonts w:ascii="黑体" w:hAnsi="黑体" w:eastAsia="黑体" w:cs="黑体"/>
          <w:b w:val="0"/>
          <w:bCs w:val="0"/>
          <w:spacing w:val="-6"/>
          <w:sz w:val="32"/>
          <w:szCs w:val="32"/>
        </w:rPr>
      </w:pPr>
      <w:bookmarkStart w:id="198" w:name="_Toc17586"/>
      <w:bookmarkStart w:id="199" w:name="_Toc133539490"/>
      <w:r>
        <w:rPr>
          <w:rFonts w:hint="eastAsia" w:ascii="黑体" w:hAnsi="黑体" w:eastAsia="黑体" w:cs="黑体"/>
          <w:b w:val="0"/>
          <w:bCs w:val="0"/>
          <w:spacing w:val="-6"/>
          <w:sz w:val="32"/>
          <w:szCs w:val="32"/>
        </w:rPr>
        <w:t>九、</w:t>
      </w:r>
      <w:bookmarkStart w:id="200" w:name="_Hlk89807416"/>
      <w:bookmarkStart w:id="201" w:name="_Hlk152097104"/>
      <w:r>
        <w:rPr>
          <w:rFonts w:hint="eastAsia" w:ascii="黑体" w:hAnsi="黑体" w:eastAsia="黑体" w:cs="黑体"/>
          <w:b w:val="0"/>
          <w:bCs w:val="0"/>
          <w:spacing w:val="-6"/>
          <w:sz w:val="32"/>
          <w:szCs w:val="32"/>
        </w:rPr>
        <w:t>高强度夯实支撑能力</w:t>
      </w:r>
      <w:bookmarkEnd w:id="198"/>
      <w:bookmarkEnd w:id="199"/>
      <w:bookmarkEnd w:id="200"/>
    </w:p>
    <w:p>
      <w:pPr>
        <w:spacing w:line="580" w:lineRule="exact"/>
        <w:ind w:firstLine="600"/>
        <w:rPr>
          <w:rFonts w:ascii="仿宋_GB2312" w:hAnsi="仿宋_GB2312" w:eastAsia="仿宋_GB2312" w:cs="仿宋_GB2312"/>
          <w:spacing w:val="-6"/>
          <w:sz w:val="32"/>
          <w:szCs w:val="32"/>
        </w:rPr>
      </w:pPr>
      <w:bookmarkStart w:id="202" w:name="_Hlk136973331"/>
      <w:r>
        <w:rPr>
          <w:rFonts w:hint="eastAsia" w:ascii="仿宋_GB2312" w:hAnsi="仿宋_GB2312" w:eastAsia="仿宋_GB2312" w:cs="仿宋_GB2312"/>
          <w:spacing w:val="-6"/>
          <w:sz w:val="32"/>
          <w:szCs w:val="32"/>
        </w:rPr>
        <w:t>紧扣国家级生态产品供给基地建设的总体目标，加快交通、水利、信息基础设施建设，持续夯实生态环境保障能力，全面提升要素汇集能力，为促进洋县“产业生态化、生态产业化”提供有力支撑。</w:t>
      </w:r>
    </w:p>
    <w:bookmarkEnd w:id="202"/>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03" w:name="_Toc29534"/>
      <w:bookmarkStart w:id="204" w:name="_Toc133539491"/>
      <w:r>
        <w:rPr>
          <w:rFonts w:hint="eastAsia" w:ascii="楷体_GB2312" w:hAnsi="楷体_GB2312" w:eastAsia="楷体_GB2312" w:cs="楷体_GB2312"/>
          <w:b w:val="0"/>
          <w:spacing w:val="-6"/>
          <w:sz w:val="32"/>
          <w:szCs w:val="32"/>
        </w:rPr>
        <w:t>（一）</w:t>
      </w:r>
      <w:bookmarkStart w:id="205" w:name="_Hlk136973352"/>
      <w:r>
        <w:rPr>
          <w:rFonts w:hint="eastAsia" w:ascii="楷体_GB2312" w:hAnsi="楷体_GB2312" w:eastAsia="楷体_GB2312" w:cs="楷体_GB2312"/>
          <w:b w:val="0"/>
          <w:spacing w:val="-6"/>
          <w:sz w:val="32"/>
          <w:szCs w:val="32"/>
        </w:rPr>
        <w:t>提升综合交通支撑能力</w:t>
      </w:r>
      <w:bookmarkEnd w:id="203"/>
      <w:bookmarkEnd w:id="204"/>
      <w:bookmarkEnd w:id="205"/>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完善对外联系通道。</w:t>
      </w:r>
      <w:r>
        <w:rPr>
          <w:rFonts w:hint="eastAsia" w:ascii="仿宋_GB2312" w:hAnsi="仿宋_GB2312" w:eastAsia="仿宋_GB2312" w:cs="仿宋_GB2312"/>
          <w:spacing w:val="-6"/>
          <w:sz w:val="32"/>
          <w:szCs w:val="32"/>
        </w:rPr>
        <w:t>积极推动华阳至宝鸡太白、龙亭至西乡旅游专线和高等级公路建设，密切跟踪汉中至宝鸡高速铁路建设，着力完善洋县南北向对外联系通道。</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完善县域公路交通网。</w:t>
      </w:r>
      <w:r>
        <w:rPr>
          <w:rFonts w:hint="eastAsia" w:ascii="仿宋_GB2312" w:hAnsi="仿宋_GB2312" w:eastAsia="仿宋_GB2312" w:cs="仿宋_GB2312"/>
          <w:spacing w:val="-6"/>
          <w:sz w:val="32"/>
          <w:szCs w:val="32"/>
        </w:rPr>
        <w:t>重点实施省道S27洋镇高速洋县至西乡段建设工程、G5西汉高速洋县出口及龙亭出口通道及其连接线扩建改造工程，提升高速衔接道路通行能力。持续推进G108、G345等国省道重点路段提质升级，做好八里关至茅坪公路、S21贯溪至庞湾村段公路项目前期工作，推动竹园至铁河街公路、汉江大桥危桥改造项目，加快推进湑水至龙亭田园综合体、黄金峡至渭门公路施工建设，统筹规划并试点建设服务区、加气站、充电桩等设施，打造内联外通交通路网。对标创建“四好农村公路”示范县要求，加快县乡公路提档升级，统筹推进农村公路与普通国省道、重要县乡公路的联网路建设，助力美丽乡村建设和乡村旅游发展。</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积极推动内河航运设施建设。</w:t>
      </w:r>
      <w:r>
        <w:rPr>
          <w:rFonts w:hint="eastAsia" w:ascii="仿宋_GB2312" w:hAnsi="仿宋_GB2312" w:eastAsia="仿宋_GB2312" w:cs="仿宋_GB2312"/>
          <w:spacing w:val="-6"/>
          <w:sz w:val="32"/>
          <w:szCs w:val="32"/>
        </w:rPr>
        <w:t>争取省市支持，积极推动高等级内河航道建设，疏浚汉江洋县段航道，综合整治碍航关闸桥梁，力争洋县段航道等级提升至四级标准。组织开展洋县港综合枢纽建设前期工作，适时推进与航道规划等级相适应的港口、专业化泊位建设，完善过河点、重要水域的渡口、客货运和旅游码头等水运基础设施。配套实施洋县港公路连接线、物流园等项目，提升集疏运系统支撑能力。</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06" w:name="_Toc133539492"/>
      <w:bookmarkStart w:id="207" w:name="_Toc21885"/>
      <w:r>
        <w:rPr>
          <w:rFonts w:hint="eastAsia" w:ascii="楷体_GB2312" w:hAnsi="楷体_GB2312" w:eastAsia="楷体_GB2312" w:cs="楷体_GB2312"/>
          <w:b w:val="0"/>
          <w:spacing w:val="-6"/>
          <w:sz w:val="32"/>
          <w:szCs w:val="32"/>
        </w:rPr>
        <w:t>（二）</w:t>
      </w:r>
      <w:bookmarkStart w:id="208" w:name="_Hlk136973366"/>
      <w:r>
        <w:rPr>
          <w:rFonts w:hint="eastAsia" w:ascii="楷体_GB2312" w:hAnsi="楷体_GB2312" w:eastAsia="楷体_GB2312" w:cs="楷体_GB2312"/>
          <w:b w:val="0"/>
          <w:spacing w:val="-6"/>
          <w:sz w:val="32"/>
          <w:szCs w:val="32"/>
        </w:rPr>
        <w:t>提升水利设施支撑能力</w:t>
      </w:r>
      <w:bookmarkEnd w:id="206"/>
      <w:bookmarkEnd w:id="207"/>
      <w:bookmarkEnd w:id="208"/>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提升防洪减灾能力。</w:t>
      </w:r>
      <w:r>
        <w:rPr>
          <w:rFonts w:hint="eastAsia" w:ascii="仿宋_GB2312" w:hAnsi="仿宋_GB2312" w:eastAsia="仿宋_GB2312" w:cs="仿宋_GB2312"/>
          <w:spacing w:val="-6"/>
          <w:sz w:val="32"/>
          <w:szCs w:val="32"/>
        </w:rPr>
        <w:t>切实加强中小河流治理，优先安排洪涝灾害易发、保护区人口密集、保护对象重要的河流及河段，继续完善汉江等主要河流防洪能力，实施汉江河道和滩区综合提升治理工程，开展中小河流河堤防洪达标行动，加固堤岸，清淤疏浚，治理河段基本达到国家防洪标准。开展山洪沟河道治理工程，重点加强沙河等9条山洪沟治理，山洪灾害防治能力进一步提高。做好病险水库除险加固工程，综合采取水库实施坝体加固、坝身防渗处理、新建溢洪道等措施，加快推进小型病险水库除险加固，消除水库防洪安全隐患，全面提升生态产品供给基地的减灾防灾能力。</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加强农田水利设施建设。</w:t>
      </w:r>
      <w:r>
        <w:rPr>
          <w:rFonts w:hint="eastAsia" w:ascii="仿宋_GB2312" w:hAnsi="仿宋_GB2312" w:eastAsia="仿宋_GB2312" w:cs="仿宋_GB2312"/>
          <w:spacing w:val="-6"/>
          <w:sz w:val="32"/>
          <w:szCs w:val="32"/>
        </w:rPr>
        <w:t>围绕有机农业，重点实施中型灌区节水改造工程，加快改造提升引酉灌区、沙河灌区、峡口堰灌区、</w:t>
      </w:r>
      <w:r>
        <w:rPr>
          <w:rFonts w:ascii="仿宋_GB2312" w:hAnsi="仿宋_GB2312" w:eastAsia="仿宋_GB2312" w:cs="仿宋_GB2312"/>
          <w:spacing w:val="-6"/>
          <w:sz w:val="32"/>
          <w:szCs w:val="32"/>
        </w:rPr>
        <w:t>傥</w:t>
      </w:r>
      <w:r>
        <w:rPr>
          <w:rFonts w:hint="eastAsia" w:ascii="仿宋_GB2312" w:hAnsi="仿宋_GB2312" w:eastAsia="仿宋_GB2312" w:cs="仿宋_GB2312"/>
          <w:spacing w:val="-6"/>
          <w:sz w:val="32"/>
          <w:szCs w:val="32"/>
        </w:rPr>
        <w:t>河水库灌区、湑惠渠马畅灌区等灌排水和节水设施，积极推进抗旱应急水源工程建设，全面形成“旱能灌、涝能排”的局面，为有机农业增产增效提供支撑。</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提升饮用水水源安全保障能力。</w:t>
      </w:r>
      <w:r>
        <w:rPr>
          <w:rFonts w:hint="eastAsia" w:ascii="仿宋_GB2312" w:hAnsi="仿宋_GB2312" w:eastAsia="仿宋_GB2312" w:cs="仿宋_GB2312"/>
          <w:spacing w:val="-6"/>
          <w:sz w:val="32"/>
          <w:szCs w:val="32"/>
        </w:rPr>
        <w:t>建立完善傥河水库集中式饮用水水源地长效管理工作机制，健全洋县城市集中式饮用水水源地突发环境事件应急预案，提高饮用水水源地规范化建设水平，确保城镇集中式饮用水水源水质、水量达标率100%。加快县城备用饮用水水源建设，提高现有水源工程配套能力。强化农村饮用水水源地保护，坚持城乡饮用水同质标准，全县农村饮用水达标人口覆盖率达到95%。</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09" w:name="_Toc15144"/>
      <w:bookmarkStart w:id="210" w:name="_Toc133539493"/>
      <w:r>
        <w:rPr>
          <w:rFonts w:hint="eastAsia" w:ascii="楷体_GB2312" w:hAnsi="楷体_GB2312" w:eastAsia="楷体_GB2312" w:cs="楷体_GB2312"/>
          <w:b w:val="0"/>
          <w:spacing w:val="-6"/>
          <w:sz w:val="32"/>
          <w:szCs w:val="32"/>
        </w:rPr>
        <w:t>（三）</w:t>
      </w:r>
      <w:bookmarkStart w:id="211" w:name="_Hlk136973389"/>
      <w:r>
        <w:rPr>
          <w:rFonts w:hint="eastAsia" w:ascii="楷体_GB2312" w:hAnsi="楷体_GB2312" w:eastAsia="楷体_GB2312" w:cs="楷体_GB2312"/>
          <w:b w:val="0"/>
          <w:spacing w:val="-6"/>
          <w:sz w:val="32"/>
          <w:szCs w:val="32"/>
        </w:rPr>
        <w:t>稳固生态系统服务保障能力</w:t>
      </w:r>
      <w:bookmarkEnd w:id="209"/>
      <w:bookmarkEnd w:id="210"/>
    </w:p>
    <w:bookmarkEnd w:id="211"/>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加强生物多样性保护。</w:t>
      </w:r>
      <w:r>
        <w:rPr>
          <w:rFonts w:hint="eastAsia" w:ascii="仿宋_GB2312" w:hAnsi="仿宋_GB2312" w:eastAsia="仿宋_GB2312" w:cs="仿宋_GB2312"/>
          <w:spacing w:val="-6"/>
          <w:sz w:val="32"/>
          <w:szCs w:val="32"/>
        </w:rPr>
        <w:t>建立健全生物安全体系，组织开展红豆杉等野生动植物资源普查、专项调查，推动建立秦岭珍稀濒危植物类、药用植物类、生态修复植物类等种质资源库。实施珍稀濒危野生植物拯救保护工程，加强野生植物栖息地生态修复，推进独叶草、珙桐、红豆杉等珍稀濒危野生植物就地保护、种群扩繁和野外回归工作。加强珍稀濒危动物栖息地保护，继续推动朱鹮、金丝猴等珍稀濒危物种种群实现恢复性增长，加快建设羚牛、林麝、猕猴等珍稀濒危动物种质资源保护区，建立洋县野生动物救助中心。加快建立生物多样性监测站，对重要生物类群及其栖息地开展常态化观测、监测、评价和预警。推进西成高铁等要道沿线交通生态廊道构建，结合小水电治理和病险水库除险加固工作，积极推进过鱼通道建设。加强有害生物的防控，全方位强化县乡村三级联动的外来生物监测预警体系建设，完善外来物种风险评估、应急及快速反应体系。严厉打击野生动物非法狩猎，依法查处野生动物及其制品非法收购、运输、出售等违规交易行为，保证生物安全。设置观测样地，开展长期观测，关注物种、种群及其环境变化状况和趋势。</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全面推进全域自然保护地体系建设。</w:t>
      </w:r>
      <w:r>
        <w:rPr>
          <w:rFonts w:hint="eastAsia" w:ascii="仿宋_GB2312" w:hAnsi="仿宋_GB2312" w:eastAsia="仿宋_GB2312" w:cs="仿宋_GB2312"/>
          <w:spacing w:val="-6"/>
          <w:sz w:val="32"/>
          <w:szCs w:val="32"/>
        </w:rPr>
        <w:t>以秦岭国家公园获批为契机，高水平开展国家公园设立标准的试验检验，推进实施生态系统修复、生态系统保护基础设施建设，强化朱鹮、红豆杉等生物多样性及环境保护，完善生态监测体系，推进国家公园入口社区建设，使汉中秦岭国家公园成为南北分界地带保存完好、具有全球保护价值和科学研究价值的典型自然生态系统。积极推进全域自然保护地建设，加大对其他重要生态功能区、生态环境敏感区和脆弱区的保护力度，确保南水北调水系源头地区维持原生态，全面筑牢县域生态屏障，基本形成以国家公园为主体，以各自然保护区、森林公园、饮用水源保护区、生态公益林、主要流域清水廊道等为依托的全域自然保护地体系。</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夯实自然生态系统监管能力。</w:t>
      </w:r>
      <w:r>
        <w:rPr>
          <w:rFonts w:hint="eastAsia" w:ascii="仿宋_GB2312" w:hAnsi="仿宋_GB2312" w:eastAsia="仿宋_GB2312" w:cs="仿宋_GB2312"/>
          <w:spacing w:val="-6"/>
          <w:sz w:val="32"/>
          <w:szCs w:val="32"/>
        </w:rPr>
        <w:t>加强秦岭水质状况的监测，强化对傥水河洋县保留区和傥水河洋县开发利用区两个水功能区的监督管理，建立完善以水功能区为控制单元、以断面水质为管理目标的水生态环境管理区划体系，划定全县主要河湖和重点水利工程管理范围与保护范围，编制实施主要河湖岸线规划。建立健全水功能区水质达标评价体系，完善分段管理、分段负责的“河长”制。实行严格的地下水保护政策，对地下水超采地区进行综合治理。</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12" w:name="_Toc133539494"/>
      <w:bookmarkStart w:id="213" w:name="_Toc8896"/>
      <w:r>
        <w:rPr>
          <w:rFonts w:hint="eastAsia" w:ascii="楷体_GB2312" w:hAnsi="楷体_GB2312" w:eastAsia="楷体_GB2312" w:cs="楷体_GB2312"/>
          <w:b w:val="0"/>
          <w:spacing w:val="-6"/>
          <w:sz w:val="32"/>
          <w:szCs w:val="32"/>
        </w:rPr>
        <w:t>（四）</w:t>
      </w:r>
      <w:bookmarkStart w:id="214" w:name="_Hlk136973403"/>
      <w:r>
        <w:rPr>
          <w:rFonts w:hint="eastAsia" w:ascii="楷体_GB2312" w:hAnsi="楷体_GB2312" w:eastAsia="楷体_GB2312" w:cs="楷体_GB2312"/>
          <w:b w:val="0"/>
          <w:spacing w:val="-6"/>
          <w:sz w:val="32"/>
          <w:szCs w:val="32"/>
        </w:rPr>
        <w:t>提升环境综合治理能力</w:t>
      </w:r>
      <w:bookmarkEnd w:id="212"/>
      <w:bookmarkEnd w:id="213"/>
      <w:bookmarkEnd w:id="214"/>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落实“三线一单”。</w:t>
      </w:r>
      <w:r>
        <w:rPr>
          <w:rFonts w:hint="eastAsia" w:ascii="仿宋_GB2312" w:hAnsi="仿宋_GB2312" w:eastAsia="仿宋_GB2312" w:cs="仿宋_GB2312"/>
          <w:spacing w:val="-6"/>
          <w:sz w:val="32"/>
          <w:szCs w:val="32"/>
        </w:rPr>
        <w:t>编制实施洋县“三线一单”分区管控方案，划定县域“生态保护红线、环境质量底线、资源利用上线”，形成生态环境准入清单，作为区域资源开发、产业布局和结构调整、城乡建设、重大项目选址等重要依据，从源头预防控制环境污染和生态破坏，构建集成化、空间化和信息化的生态环境分区管控体系。加快推进“三线一单”落地应用，对不同的环境管控单元实行分区差别化管理，优先保护单元强调保护为主，根据保护对象属性实行禁止或限制开发，加快开展生态保护红线勘界定标，确保区域内生态保护红线面积不低于1272.85平方千米。重点控制单元以单元主导功能为依据，区分城镇生活重点管控单元、工业集聚重点管控单元，并实行差别化的管控。一般控制单元，强化农业用地保障，适当控制开发强度。</w:t>
      </w:r>
      <w:bookmarkStart w:id="215" w:name="_Hlk137846535"/>
      <w:r>
        <w:rPr>
          <w:rFonts w:hint="eastAsia" w:ascii="仿宋_GB2312" w:hAnsi="仿宋_GB2312" w:eastAsia="仿宋_GB2312" w:cs="仿宋_GB2312"/>
          <w:spacing w:val="-6"/>
          <w:sz w:val="32"/>
          <w:szCs w:val="32"/>
        </w:rPr>
        <w:t>全面推进“三线一单”生态环境分区管控体系落地实施，</w:t>
      </w:r>
      <w:bookmarkEnd w:id="215"/>
      <w:r>
        <w:rPr>
          <w:rFonts w:hint="eastAsia" w:ascii="仿宋_GB2312" w:hAnsi="仿宋_GB2312" w:eastAsia="仿宋_GB2312" w:cs="仿宋_GB2312"/>
          <w:spacing w:val="-6"/>
          <w:sz w:val="32"/>
          <w:szCs w:val="32"/>
        </w:rPr>
        <w:t>将划区数据和信息按照统一编码、统一接口，导入管控平台，实现洋县“三线一单”成果划得准、管得住、用得好。</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提升环境治理监测保障能力。</w:t>
      </w:r>
      <w:r>
        <w:rPr>
          <w:rFonts w:hint="eastAsia" w:ascii="仿宋_GB2312" w:hAnsi="仿宋_GB2312" w:eastAsia="仿宋_GB2312" w:cs="仿宋_GB2312"/>
          <w:spacing w:val="-6"/>
          <w:sz w:val="32"/>
          <w:szCs w:val="32"/>
        </w:rPr>
        <w:t>全面推进生态环境监测监察执法能力标准化建设，按县乡不同层级职责配备人力和设备，确保与生态环境保护任务相匹配。推进河湖长制、林长制有能有效，积极推动山长制与林长制深度融合。持续推进生态环境监测网络建设，加快重点水域、交接断面、重点湖库及入湖支流的自动监测系统建设，完善土壤环境监测网络，加强对生态系统状况、生物多样性、生态风险、保护成效的监测评估，探索建立生态安全监测预警体系。以固定污染源全面监测为基础，逐步建立统筹固定源、移动源、面源的污染源监测体系。加强环境风险管控能力建设，建立全方位的突发环境事件预防和预警体系，加强重点领域的全过程环境风险管理。推进生态环境领域数字化转型，构建区域生态环境信息资源共享数据库。</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16" w:name="_Toc11293"/>
      <w:bookmarkStart w:id="217" w:name="_Toc133539495"/>
      <w:r>
        <w:rPr>
          <w:rFonts w:hint="eastAsia" w:ascii="楷体_GB2312" w:hAnsi="楷体_GB2312" w:eastAsia="楷体_GB2312" w:cs="楷体_GB2312"/>
          <w:b w:val="0"/>
          <w:spacing w:val="-6"/>
          <w:sz w:val="32"/>
          <w:szCs w:val="32"/>
        </w:rPr>
        <w:t>（五）</w:t>
      </w:r>
      <w:bookmarkStart w:id="218" w:name="_Hlk136973419"/>
      <w:r>
        <w:rPr>
          <w:rFonts w:hint="eastAsia" w:ascii="楷体_GB2312" w:hAnsi="楷体_GB2312" w:eastAsia="楷体_GB2312" w:cs="楷体_GB2312"/>
          <w:b w:val="0"/>
          <w:spacing w:val="-6"/>
          <w:sz w:val="32"/>
          <w:szCs w:val="32"/>
        </w:rPr>
        <w:t>提升生产要素保障能力</w:t>
      </w:r>
      <w:bookmarkEnd w:id="216"/>
      <w:bookmarkEnd w:id="217"/>
      <w:bookmarkEnd w:id="218"/>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围绕国家级生态产品供给基地建设对资金、土地、人才等要素资源的要求，优化资源配置，强化要素聚集，提升供给水平。</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强化基地建设资金投入保障。</w:t>
      </w:r>
      <w:r>
        <w:rPr>
          <w:rFonts w:hint="eastAsia" w:ascii="仿宋_GB2312" w:hAnsi="仿宋_GB2312" w:eastAsia="仿宋_GB2312" w:cs="仿宋_GB2312"/>
          <w:spacing w:val="-6"/>
          <w:sz w:val="32"/>
          <w:szCs w:val="32"/>
        </w:rPr>
        <w:t>加大财政投入力度，县政府中期财政规划和年度预算要充分考虑本规划目标任务和资金支出需求，把生态产品供给基地建设作为公共财政支出的重点领域，合理安排经费规模和结构。努力争取上级的项目和资金扶持，积极申报陕西省“绿水青山就是金山银山”建设财政专项激励资金。推动设立生态产品供给基地产业基金，按照项目的资源环境绩效提供差别化的资金支持，强化绿色资金的效益考评。建立生态建设基金，采取“政府引导、社会参与、国际协同”的原则设计股权结构，由专业化公司运作，重点支持基于生态环境保护与修复的生态产品价值实现项目。以生态资产确权与资本化、生态产品核算以及市场交易为基础，推动各类金融机构在生态产品开发方面的合作，建立“一站式”绿色金融服务平台，构建普惠金融、绿色债券、生态基金、生态保险组成的绿色金融服务体系。鼓励县内金融机构争取成为本系统内全国绿色金融试点，围绕支持实体经济绿色发展创新服务方式和产品供给，创新绿色信贷、发展绿色保险，完善绿色小额贷款保证保险、绿色债券融资奖励制度、绿色产业企业上市奖励制度。</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强化土地要素支撑。</w:t>
      </w:r>
      <w:r>
        <w:rPr>
          <w:rFonts w:hint="eastAsia" w:ascii="仿宋_GB2312" w:hAnsi="仿宋_GB2312" w:eastAsia="仿宋_GB2312" w:cs="仿宋_GB2312"/>
          <w:spacing w:val="-6"/>
          <w:sz w:val="32"/>
          <w:szCs w:val="32"/>
        </w:rPr>
        <w:t>深化“标准地+承诺制”改革，确保新增工业用地“标准地”供地率达到100%。推进工业企业亩产效益综合评价，强化单位面积投资、单位面积产出、生态环境效益等约束指标，引导企业走绿色高效发展之路。优先安排有机食品、旅游及环境敏感型产业等符合产业生态化的重大项目用地，在满足国土空间规划的前提下，合理配置新增土地，建设用地指标要向工业园区倾斜，优势产业项目用地纳入重点项目用地服务范围，优先予以保障。加快园区闲置和低效土地二次开发利用，优先考虑企业新建或改扩建中技术含量高、资源消耗量和排放量显著降低的具有较强示范带动作用的项目，对产业转型发展具有重要意义的重点项目给予土地指标支持。</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强化人才支撑。</w:t>
      </w:r>
      <w:r>
        <w:rPr>
          <w:rFonts w:hint="eastAsia" w:ascii="仿宋_GB2312" w:hAnsi="仿宋_GB2312" w:eastAsia="仿宋_GB2312" w:cs="仿宋_GB2312"/>
          <w:spacing w:val="-6"/>
          <w:sz w:val="32"/>
          <w:szCs w:val="32"/>
        </w:rPr>
        <w:t>聚焦生态产品价值实现、前沿生态技术研究等方向，建设陕西（洋县）两山学院，面向全省培养“两山”创新型复合人才。深入实施“新时代311人才工程”，制定配套政策，有针对性地引进和培育一批有机产业、文化旅游、生态建设等领域的人才和团队，通过聘用、兼职、项目咨询、合作开发、技术攻关等办法，探索有利于激励高层次人才创新的收益分配办法，加大对重点培育产业领域所需的高层次人才优先保障。实施“新农人”培育计划，主动对接垂直农业领域的MCN（农业网红孵化运营）机构，大力培训农民主播，同步推进直播基地建设，吸引直播企业、MCN机构独家签约主播入驻洋县，为有机农业发展提供人才支撑。</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19" w:name="_Toc133539496"/>
      <w:bookmarkStart w:id="220" w:name="_Toc29133"/>
      <w:r>
        <w:rPr>
          <w:rFonts w:hint="eastAsia" w:ascii="楷体_GB2312" w:hAnsi="楷体_GB2312" w:eastAsia="楷体_GB2312" w:cs="楷体_GB2312"/>
          <w:b w:val="0"/>
          <w:spacing w:val="-6"/>
          <w:sz w:val="32"/>
          <w:szCs w:val="32"/>
        </w:rPr>
        <w:t>（六）</w:t>
      </w:r>
      <w:bookmarkStart w:id="221" w:name="_Hlk136973441"/>
      <w:r>
        <w:rPr>
          <w:rFonts w:hint="eastAsia" w:ascii="楷体_GB2312" w:hAnsi="楷体_GB2312" w:eastAsia="楷体_GB2312" w:cs="楷体_GB2312"/>
          <w:b w:val="0"/>
          <w:spacing w:val="-6"/>
          <w:sz w:val="32"/>
          <w:szCs w:val="32"/>
        </w:rPr>
        <w:t>提升科技支撑能力</w:t>
      </w:r>
      <w:bookmarkEnd w:id="219"/>
      <w:bookmarkEnd w:id="220"/>
      <w:bookmarkEnd w:id="221"/>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度融入秦创原创新驱动总平台，产业生态化发展提供科技支撑。重点加强与中国农业大学、西北农林科技大学、陕西理工大学、陕西有机食品研发工程中心的衔接与沟通，推动建立省级功能食品检测平台及研发中心，积极推动有机食品加工、新材料、电子信息等领域内的骨干企业申报国家或省级工程（技术）研究中心，支持有机产业打造国家级研发平台，争取建设院士工作站、博士后工作站等科技创新平台。鼓励有机产业行业龙头企业积极对接高等院校、科研机构和用户，创建产学研用合作战略联盟，建立高层次、常态化的企业技术创新对话、咨询机制，开展行业间技术交流、分享共性技术，对技术联盟联合开展的科研工作给予优先重点支持。</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主动对接中国科学院、中国林业科学研究院、中国环境科学研究院等国家级科研机构，争取在洋县设立国家野外科学观测研究站、生态定位站。支持西安交通大学、西北大学、陕西师范大学、四川大学等省内外高校建立野外教学和实验基地。统筹优化县域内自然资源、应急管理、林业、气象等部门地面监测站网布局，加密监测站点，布设无人值守自动气象、森林防火等多功能观测站，构建生态要素和自然灾害等实时监测网。</w:t>
      </w:r>
    </w:p>
    <w:bookmarkEnd w:id="201"/>
    <w:p>
      <w:pPr>
        <w:pStyle w:val="3"/>
        <w:spacing w:before="0" w:after="0" w:line="580" w:lineRule="exact"/>
        <w:ind w:firstLine="616" w:firstLineChars="200"/>
        <w:rPr>
          <w:rFonts w:ascii="黑体" w:hAnsi="黑体" w:eastAsia="黑体" w:cs="黑体"/>
          <w:b w:val="0"/>
          <w:bCs w:val="0"/>
          <w:spacing w:val="-6"/>
          <w:sz w:val="32"/>
          <w:szCs w:val="32"/>
        </w:rPr>
      </w:pPr>
      <w:bookmarkStart w:id="222" w:name="_Toc133539497"/>
      <w:bookmarkStart w:id="223" w:name="_Toc21718"/>
      <w:bookmarkStart w:id="224" w:name="_Hlk152100589"/>
      <w:r>
        <w:rPr>
          <w:rFonts w:hint="eastAsia" w:ascii="黑体" w:hAnsi="黑体" w:eastAsia="黑体" w:cs="黑体"/>
          <w:b w:val="0"/>
          <w:bCs w:val="0"/>
          <w:spacing w:val="-6"/>
          <w:sz w:val="32"/>
          <w:szCs w:val="32"/>
        </w:rPr>
        <w:t>十、保障措施</w:t>
      </w:r>
      <w:bookmarkEnd w:id="222"/>
      <w:bookmarkEnd w:id="223"/>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25" w:name="_Toc133539498"/>
      <w:bookmarkStart w:id="226" w:name="_Toc17183"/>
      <w:r>
        <w:rPr>
          <w:rFonts w:hint="eastAsia" w:ascii="楷体_GB2312" w:hAnsi="楷体_GB2312" w:eastAsia="楷体_GB2312" w:cs="楷体_GB2312"/>
          <w:b w:val="0"/>
          <w:spacing w:val="-6"/>
          <w:sz w:val="32"/>
          <w:szCs w:val="32"/>
        </w:rPr>
        <w:t>（一）</w:t>
      </w:r>
      <w:bookmarkStart w:id="227" w:name="_Hlk136973655"/>
      <w:r>
        <w:rPr>
          <w:rFonts w:hint="eastAsia" w:ascii="楷体_GB2312" w:hAnsi="楷体_GB2312" w:eastAsia="楷体_GB2312" w:cs="楷体_GB2312"/>
          <w:b w:val="0"/>
          <w:spacing w:val="-6"/>
          <w:sz w:val="32"/>
          <w:szCs w:val="32"/>
        </w:rPr>
        <w:t>加强组织领导</w:t>
      </w:r>
      <w:bookmarkEnd w:id="225"/>
      <w:bookmarkEnd w:id="226"/>
      <w:bookmarkEnd w:id="227"/>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立洋县国家生态产品供给基地建设领导小组，县人民政府主要领导担任组长，县发改局、财政局、经贸局、生态环境局、自然资源局、林业局、水利局、农业农村局、交通局、绿管会等相关政府部门为成员单位，主要职能为研究制定政策，协调解决建设中的重大问题。领导小组办公室设在洋县发改局，负责联络协调工作，及时掌握建设进展情况，研究分析存在的问题，及时向领导小组报告重要事项并提出建议。各部门要发挥各自的职能优势，密切配合，形成合力，共同推进基地建设。</w:t>
      </w:r>
    </w:p>
    <w:p>
      <w:pPr>
        <w:pStyle w:val="4"/>
        <w:spacing w:before="0" w:beforeAutospacing="0" w:after="0" w:afterAutospacing="0" w:line="580" w:lineRule="exact"/>
        <w:ind w:firstLine="462" w:firstLineChars="150"/>
        <w:rPr>
          <w:rFonts w:ascii="楷体_GB2312" w:hAnsi="楷体_GB2312" w:eastAsia="楷体_GB2312" w:cs="楷体_GB2312"/>
          <w:b w:val="0"/>
          <w:spacing w:val="-6"/>
          <w:sz w:val="32"/>
          <w:szCs w:val="32"/>
        </w:rPr>
      </w:pPr>
      <w:bookmarkStart w:id="228" w:name="_Toc133539499"/>
      <w:bookmarkStart w:id="229" w:name="_Toc22279"/>
      <w:r>
        <w:rPr>
          <w:rFonts w:hint="eastAsia" w:ascii="楷体_GB2312" w:hAnsi="楷体_GB2312" w:eastAsia="楷体_GB2312" w:cs="楷体_GB2312"/>
          <w:b w:val="0"/>
          <w:spacing w:val="-6"/>
          <w:sz w:val="32"/>
          <w:szCs w:val="32"/>
        </w:rPr>
        <w:t>（二）</w:t>
      </w:r>
      <w:bookmarkStart w:id="230" w:name="_Hlk136973671"/>
      <w:r>
        <w:rPr>
          <w:rFonts w:hint="eastAsia" w:ascii="楷体_GB2312" w:hAnsi="楷体_GB2312" w:eastAsia="楷体_GB2312" w:cs="楷体_GB2312"/>
          <w:b w:val="0"/>
          <w:spacing w:val="-6"/>
          <w:sz w:val="32"/>
          <w:szCs w:val="32"/>
        </w:rPr>
        <w:t>争取上级支持</w:t>
      </w:r>
      <w:bookmarkEnd w:id="228"/>
      <w:bookmarkEnd w:id="229"/>
    </w:p>
    <w:bookmarkEnd w:id="230"/>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主动对接国家发展和改革委员会、生态环境部、自然资源部等相关部委，争取设立洋县国家级生态产品供给基地建设试点，围绕南水北调水源地、陕西“引汉济渭”重点水源涵养地、秦岭植被及空气质量等多生态要素横向与纵向补偿机制的细化实化开展先行先试，为出台建立秦岭、汉江全流域横向补偿机制的实施方案奠定基础；探索建立以GEP为基础的年度目标考核制度，将生态产品价值（调节服务类）增减情况作为党政领导班子和领导干部综合评价、干部奖惩任免的重要依据。争取被自然资源部列入推荐的生态产品价值实现案例。主动对接陕西省发展和改革委员会、陕西省自然资源厅、陕西省生态环境厅，争取出台《陕西省支持洋县建设国家级生态产品供给基地的若干意见》。争取陕西省、汉中市两级政府支持，设立国家级生态产品供给基地建设专项资金，积极对接省市财政部门，争取在安排相关专项资金和乡村振兴基金时予以倾斜。</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31" w:name="_Toc133539500"/>
      <w:bookmarkStart w:id="232" w:name="_Toc20535"/>
      <w:r>
        <w:rPr>
          <w:rFonts w:hint="eastAsia" w:ascii="楷体_GB2312" w:hAnsi="楷体_GB2312" w:eastAsia="楷体_GB2312" w:cs="楷体_GB2312"/>
          <w:b w:val="0"/>
          <w:spacing w:val="-6"/>
          <w:sz w:val="32"/>
          <w:szCs w:val="32"/>
        </w:rPr>
        <w:t>（三）</w:t>
      </w:r>
      <w:bookmarkStart w:id="233" w:name="_Hlk136973690"/>
      <w:r>
        <w:rPr>
          <w:rFonts w:hint="eastAsia" w:ascii="楷体_GB2312" w:hAnsi="楷体_GB2312" w:eastAsia="楷体_GB2312" w:cs="楷体_GB2312"/>
          <w:b w:val="0"/>
          <w:spacing w:val="-6"/>
          <w:sz w:val="32"/>
          <w:szCs w:val="32"/>
        </w:rPr>
        <w:t>构建高效运行体制</w:t>
      </w:r>
      <w:bookmarkEnd w:id="231"/>
      <w:bookmarkEnd w:id="232"/>
      <w:bookmarkEnd w:id="233"/>
      <w:r>
        <w:rPr>
          <w:rFonts w:hint="eastAsia" w:ascii="楷体_GB2312" w:hAnsi="楷体_GB2312" w:eastAsia="楷体_GB2312" w:cs="楷体_GB2312"/>
          <w:b w:val="0"/>
          <w:spacing w:val="-6"/>
          <w:sz w:val="32"/>
          <w:szCs w:val="32"/>
        </w:rPr>
        <w:t xml:space="preserve"> </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主动对接国家、陕西省及汉中市发展和改革委员会、生态环境、自然资源、质检、农业农村等上级部门，推动建立洋县国家级生态产品供给基地建设业务指导机制，确保方向不偏航，有效保证国家、陕西省、汉中市相关政策得到贯彻落实。建立洋县国家级生态产品供给基地建设高效推进机制，县发改局作为牵头单位，制定具体实施方案，明确责任分工，完善部门、镇街参与协调机制。建立联席会议制度，定期举行部门联席会议。建立决策咨询机制，聘请第三方智库、省内专家、国内外专家等成立专家咨询委员会，负责重大政策、重点建设项目咨询，提出优化解决方案。</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34" w:name="_Toc4701"/>
      <w:bookmarkStart w:id="235" w:name="_Toc133539501"/>
      <w:r>
        <w:rPr>
          <w:rFonts w:hint="eastAsia" w:ascii="楷体_GB2312" w:hAnsi="楷体_GB2312" w:eastAsia="楷体_GB2312" w:cs="楷体_GB2312"/>
          <w:b w:val="0"/>
          <w:spacing w:val="-6"/>
          <w:sz w:val="32"/>
          <w:szCs w:val="32"/>
        </w:rPr>
        <w:t>（四）</w:t>
      </w:r>
      <w:bookmarkStart w:id="236" w:name="_Hlk136973707"/>
      <w:r>
        <w:rPr>
          <w:rFonts w:hint="eastAsia" w:ascii="楷体_GB2312" w:hAnsi="楷体_GB2312" w:eastAsia="楷体_GB2312" w:cs="楷体_GB2312"/>
          <w:b w:val="0"/>
          <w:spacing w:val="-6"/>
          <w:sz w:val="32"/>
          <w:szCs w:val="32"/>
        </w:rPr>
        <w:t>完善政策支持体系</w:t>
      </w:r>
      <w:bookmarkEnd w:id="234"/>
      <w:bookmarkEnd w:id="235"/>
      <w:bookmarkEnd w:id="236"/>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加快“产业生态化、生态产业化”为导向，健全完善政策支持体系。聚焦产业政策扶持，重点围绕有机产业、现代材料产业、环境敏感型产业和生态旅游产业需求，制定和完善人才、投资、品牌建设、标准化建设等专项政策，结合生态产品供给基地产业发展方向、重点和要求，研究制订产业发展指导目录，建立洋县国家级生态产品供给基地建设重大项目库，构筑适合洋县实际的系统完善的政策体系。</w:t>
      </w:r>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财政引导。县政府中期财政规划和年度预算要充分考虑本规划目标任务和资金支出需求，合理安排经费规模和结构。按照“用途不变、渠道不乱、规模不减、各记其功”的原则，整合县发改、生态环境、财政、水利、农业农村、经贸、农发、乡村振兴等部门涉及生态环境建设资金和涉农资金，统筹各方资源和力量，对基地建设中涉及的重大项目予以支持，实现集中人力、财力和物力办大事。</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37" w:name="_Toc7542"/>
      <w:bookmarkStart w:id="238" w:name="_Toc133539502"/>
      <w:r>
        <w:rPr>
          <w:rFonts w:hint="eastAsia" w:ascii="楷体_GB2312" w:hAnsi="楷体_GB2312" w:eastAsia="楷体_GB2312" w:cs="楷体_GB2312"/>
          <w:b w:val="0"/>
          <w:spacing w:val="-6"/>
          <w:sz w:val="32"/>
          <w:szCs w:val="32"/>
        </w:rPr>
        <w:t>（五）</w:t>
      </w:r>
      <w:bookmarkStart w:id="239" w:name="_Hlk136973718"/>
      <w:r>
        <w:rPr>
          <w:rFonts w:hint="eastAsia" w:ascii="楷体_GB2312" w:hAnsi="楷体_GB2312" w:eastAsia="楷体_GB2312" w:cs="楷体_GB2312"/>
          <w:b w:val="0"/>
          <w:spacing w:val="-6"/>
          <w:sz w:val="32"/>
          <w:szCs w:val="32"/>
        </w:rPr>
        <w:t>强化市场运作</w:t>
      </w:r>
      <w:bookmarkEnd w:id="237"/>
      <w:bookmarkEnd w:id="238"/>
      <w:bookmarkEnd w:id="239"/>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针对洋县建设国家生态产品供给基地建设中需要市场力量介入的环节，要充分发挥市场机制作用，推进市场化运作。争取国家部委、陕西省支持，针对森林覆盖率、空气质量、汉江出境断面水质开展市场化补偿的实践探索。针对环境敏感型产业发展初期的招商难题，立足基金招商这一当前最有效的招商方式，采用政府管理与市场化运作相结合的形式，多方筹措资金，广泛吸纳社会资本,成立政府主导、多方入股的环境敏感型产业发展基金，通过战略性直接投资和参股投资子基金等方式招引龙头带动项目落户洋县。推进洋县城投等平台公司向资产运营公司转型，积极开展碳汇林管理、生态金融、生态旅游项目开发等业务，更好地促进生态产品供给基地公共服务和生态建设类项目建设。</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40" w:name="_Toc133539503"/>
      <w:bookmarkStart w:id="241" w:name="_Toc14202"/>
      <w:r>
        <w:rPr>
          <w:rFonts w:hint="eastAsia" w:ascii="楷体_GB2312" w:hAnsi="楷体_GB2312" w:eastAsia="楷体_GB2312" w:cs="楷体_GB2312"/>
          <w:b w:val="0"/>
          <w:spacing w:val="-6"/>
          <w:sz w:val="32"/>
          <w:szCs w:val="32"/>
        </w:rPr>
        <w:t>（六）</w:t>
      </w:r>
      <w:bookmarkStart w:id="242" w:name="_Hlk136973739"/>
      <w:r>
        <w:rPr>
          <w:rFonts w:hint="eastAsia" w:ascii="楷体_GB2312" w:hAnsi="楷体_GB2312" w:eastAsia="楷体_GB2312" w:cs="楷体_GB2312"/>
          <w:b w:val="0"/>
          <w:spacing w:val="-6"/>
          <w:sz w:val="32"/>
          <w:szCs w:val="32"/>
        </w:rPr>
        <w:t>争取外部支持</w:t>
      </w:r>
      <w:bookmarkEnd w:id="240"/>
      <w:bookmarkEnd w:id="241"/>
      <w:bookmarkEnd w:id="242"/>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积极对接陕西省全国人大代表、陕西省全国政协委员，大力宣传洋县建设国家生态产品供给基地的重大意义，商请向国家相关部委提出建设洋县国家生态产品供给基地的人大建议和政协提案。积极对接中国科学院、中宣部高水平社会智库，邀请生态建设、区域规划、产业研究、食品安全、生态政策等相关领域的专家深入洋县开展调查，向国家部委和陕西省递送研究报告和决策咨询报告。主动联络洋县籍在外工作的专家学者、知名人士、社会先达、商界精英等，建立洋县在外知名人士基础信息资料，积极开展建议征集、家乡推介、招商引资、人才引进等相关工作，为建设国家生态产品供给基地提供外部支持。</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43" w:name="_Toc26549"/>
      <w:bookmarkStart w:id="244" w:name="_Toc133539504"/>
      <w:r>
        <w:rPr>
          <w:rFonts w:hint="eastAsia" w:ascii="楷体_GB2312" w:hAnsi="楷体_GB2312" w:eastAsia="楷体_GB2312" w:cs="楷体_GB2312"/>
          <w:b w:val="0"/>
          <w:spacing w:val="-6"/>
          <w:sz w:val="32"/>
          <w:szCs w:val="32"/>
        </w:rPr>
        <w:t>（七）</w:t>
      </w:r>
      <w:bookmarkStart w:id="245" w:name="_Hlk136973759"/>
      <w:r>
        <w:rPr>
          <w:rFonts w:hint="eastAsia" w:ascii="楷体_GB2312" w:hAnsi="楷体_GB2312" w:eastAsia="楷体_GB2312" w:cs="楷体_GB2312"/>
          <w:b w:val="0"/>
          <w:spacing w:val="-6"/>
          <w:sz w:val="32"/>
          <w:szCs w:val="32"/>
        </w:rPr>
        <w:t>加强监督考核</w:t>
      </w:r>
      <w:bookmarkEnd w:id="243"/>
      <w:bookmarkEnd w:id="244"/>
      <w:bookmarkEnd w:id="245"/>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强化洋县国家级生态产品供给基地建设全过程管理，明确责任分工，制订规划年度实施方案，逐年逐项细化分解规划目标和重点任务，分阶段、分步骤有序推进。加强重点任务实施进度、目标指标完成情况的评估，把基地建设的重点工作和重大项目纳入党委政府年度工作计划，对实施进展缓慢、重点工程任务滞后或运行不稳定、政策措施落实不到位的部门，</w:t>
      </w:r>
      <w:r>
        <w:rPr>
          <w:rFonts w:hint="eastAsia" w:ascii="仿宋_GB2312" w:hAnsi="仿宋_GB2312" w:eastAsia="仿宋_GB2312" w:cs="仿宋_GB2312"/>
          <w:color w:val="000000" w:themeColor="text1"/>
          <w:spacing w:val="-6"/>
          <w:sz w:val="32"/>
          <w:szCs w:val="32"/>
        </w:rPr>
        <w:t>镇和街道</w:t>
      </w:r>
      <w:r>
        <w:rPr>
          <w:rFonts w:hint="eastAsia" w:ascii="仿宋_GB2312" w:hAnsi="仿宋_GB2312" w:eastAsia="仿宋_GB2312" w:cs="仿宋_GB2312"/>
          <w:spacing w:val="-6"/>
          <w:sz w:val="32"/>
          <w:szCs w:val="32"/>
        </w:rPr>
        <w:t>，及时约谈或通报。引入第三方机构、民意评价等评估方式，及时开展规划年度评估和中期评估。</w:t>
      </w:r>
    </w:p>
    <w:p>
      <w:pPr>
        <w:pStyle w:val="4"/>
        <w:spacing w:before="0" w:beforeAutospacing="0" w:after="0" w:afterAutospacing="0" w:line="580" w:lineRule="exact"/>
        <w:ind w:firstLine="616" w:firstLineChars="200"/>
        <w:rPr>
          <w:rFonts w:ascii="楷体_GB2312" w:hAnsi="楷体_GB2312" w:eastAsia="楷体_GB2312" w:cs="楷体_GB2312"/>
          <w:b w:val="0"/>
          <w:spacing w:val="-6"/>
          <w:sz w:val="32"/>
          <w:szCs w:val="32"/>
        </w:rPr>
      </w:pPr>
      <w:bookmarkStart w:id="246" w:name="_Toc133539505"/>
      <w:bookmarkStart w:id="247" w:name="_Toc2979"/>
      <w:r>
        <w:rPr>
          <w:rFonts w:hint="eastAsia" w:ascii="楷体_GB2312" w:hAnsi="楷体_GB2312" w:eastAsia="楷体_GB2312" w:cs="楷体_GB2312"/>
          <w:b w:val="0"/>
          <w:spacing w:val="-6"/>
          <w:sz w:val="32"/>
          <w:szCs w:val="32"/>
        </w:rPr>
        <w:t>（八）</w:t>
      </w:r>
      <w:bookmarkStart w:id="248" w:name="_Hlk136973772"/>
      <w:r>
        <w:rPr>
          <w:rFonts w:hint="eastAsia" w:ascii="楷体_GB2312" w:hAnsi="楷体_GB2312" w:eastAsia="楷体_GB2312" w:cs="楷体_GB2312"/>
          <w:b w:val="0"/>
          <w:spacing w:val="-6"/>
          <w:sz w:val="32"/>
          <w:szCs w:val="32"/>
        </w:rPr>
        <w:t>加强宣传引导</w:t>
      </w:r>
      <w:bookmarkEnd w:id="246"/>
      <w:bookmarkEnd w:id="247"/>
      <w:bookmarkEnd w:id="248"/>
    </w:p>
    <w:p>
      <w:pPr>
        <w:spacing w:line="580" w:lineRule="exact"/>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充分发挥新媒体、融媒体的作用，广泛宣传洋县生态建设、有机产业发展的地方实践，营造生态产品供给基地建设舆论氛围。适时成立秦岭地区生态产品供给年度合作论坛，组织编制并发布年度白皮书，适时组织拍摄宣传片，提升传播效率。依托移动智能终端加快建立开放式公众参与平台，全面畅通洋县市民参与、监督渠道。注重发挥工会、共青团、妇联等群团组织及其他社会组织的作用，广泛凝聚社会共识和建设力量，形成政府积极引导、部门协作配合、社会共同参与的国家级生态产品供给基地建设氛围。</w:t>
      </w:r>
    </w:p>
    <w:p>
      <w:pPr>
        <w:spacing w:line="580" w:lineRule="exact"/>
        <w:ind w:firstLine="600"/>
        <w:rPr>
          <w:rFonts w:ascii="仿宋_GB2312" w:hAnsi="仿宋_GB2312" w:eastAsia="仿宋_GB2312" w:cs="仿宋_GB2312"/>
          <w:spacing w:val="-6"/>
          <w:sz w:val="32"/>
          <w:szCs w:val="32"/>
        </w:rPr>
        <w:sectPr>
          <w:headerReference r:id="rId36" w:type="default"/>
          <w:footerReference r:id="rId37" w:type="default"/>
          <w:footerReference r:id="rId38" w:type="even"/>
          <w:pgSz w:w="11906" w:h="16838"/>
          <w:pgMar w:top="2041" w:right="1417" w:bottom="1928" w:left="1531" w:header="851" w:footer="397" w:gutter="0"/>
          <w:pgNumType w:fmt="numberInDash"/>
          <w:cols w:space="0" w:num="1"/>
          <w:docGrid w:type="lines" w:linePitch="319" w:charSpace="0"/>
        </w:sectPr>
      </w:pPr>
      <w:r>
        <w:rPr>
          <w:rFonts w:hint="eastAsia" w:ascii="仿宋_GB2312" w:hAnsi="仿宋_GB2312" w:eastAsia="仿宋_GB2312" w:cs="仿宋_GB2312"/>
          <w:spacing w:val="-6"/>
          <w:sz w:val="32"/>
          <w:szCs w:val="32"/>
        </w:rPr>
        <w:t>加强国际传播，重点依托朱鹮和长青两个国家级自然保护区，加强外向型平台载体建设，打造世界影响、全国一流的合作交流窗口，扩大洋县“产业生态化、生态产业化”的影响力。挖掘朱鹮品牌影响力，积极利用国外游客、国际会议、展会等载体机会，向世界推介美丽洋县，讲好“中国故事”。</w:t>
      </w:r>
    </w:p>
    <w:bookmarkEnd w:id="224"/>
    <w:p>
      <w:pPr>
        <w:pStyle w:val="3"/>
        <w:spacing w:before="0" w:after="0" w:line="240" w:lineRule="auto"/>
        <w:rPr>
          <w:rFonts w:ascii="黑体" w:hAnsi="黑体" w:eastAsia="黑体" w:cs="黑体"/>
          <w:b w:val="0"/>
          <w:bCs w:val="0"/>
          <w:sz w:val="32"/>
          <w:szCs w:val="32"/>
        </w:rPr>
      </w:pPr>
      <w:bookmarkStart w:id="249" w:name="_Toc13222"/>
      <w:bookmarkStart w:id="250" w:name="_Toc133539506"/>
      <w:r>
        <w:rPr>
          <w:rFonts w:hint="eastAsia" w:ascii="黑体" w:hAnsi="黑体" w:eastAsia="黑体" w:cs="黑体"/>
          <w:b w:val="0"/>
          <w:bCs w:val="0"/>
          <w:sz w:val="32"/>
          <w:szCs w:val="32"/>
        </w:rPr>
        <w:t>附件</w:t>
      </w:r>
      <w:bookmarkEnd w:id="249"/>
    </w:p>
    <w:p>
      <w:pPr>
        <w:pStyle w:val="3"/>
        <w:spacing w:before="0" w:after="0" w:line="240" w:lineRule="auto"/>
        <w:jc w:val="center"/>
        <w:rPr>
          <w:rFonts w:ascii="方正小标宋_GBK" w:hAnsi="方正小标宋_GBK" w:eastAsia="方正小标宋_GBK" w:cs="方正小标宋_GBK"/>
          <w:b w:val="0"/>
          <w:bCs w:val="0"/>
        </w:rPr>
      </w:pPr>
      <w:bookmarkStart w:id="251" w:name="_Toc11043"/>
      <w:bookmarkStart w:id="252" w:name="_Hlk136973972"/>
      <w:r>
        <w:rPr>
          <w:rFonts w:hint="eastAsia" w:ascii="方正小标宋_GBK" w:hAnsi="方正小标宋_GBK" w:eastAsia="方正小标宋_GBK" w:cs="方正小标宋_GBK"/>
          <w:b w:val="0"/>
          <w:bCs w:val="0"/>
        </w:rPr>
        <w:t>重大项目建设表（汇总表）</w:t>
      </w:r>
      <w:bookmarkEnd w:id="250"/>
      <w:bookmarkEnd w:id="251"/>
      <w:bookmarkEnd w:id="252"/>
    </w:p>
    <w:p>
      <w:pPr>
        <w:widowControl/>
        <w:textAlignment w:val="center"/>
        <w:rPr>
          <w:rFonts w:ascii="黑体" w:hAnsi="宋体" w:eastAsia="黑体"/>
          <w:color w:val="000000"/>
          <w:kern w:val="0"/>
          <w:sz w:val="32"/>
          <w:szCs w:val="32"/>
        </w:rPr>
      </w:pPr>
      <w:r>
        <w:rPr>
          <w:rFonts w:hint="eastAsia" w:ascii="黑体" w:hAnsi="宋体" w:eastAsia="黑体" w:cs="黑体"/>
          <w:color w:val="000000"/>
          <w:kern w:val="0"/>
          <w:sz w:val="32"/>
          <w:szCs w:val="32"/>
        </w:rPr>
        <w:t>一、</w:t>
      </w:r>
      <w:r>
        <w:rPr>
          <w:rFonts w:hint="eastAsia" w:ascii="黑体" w:hAnsi="黑体" w:eastAsia="黑体"/>
          <w:sz w:val="32"/>
          <w:szCs w:val="32"/>
        </w:rPr>
        <w:t>经营性生态产品类</w:t>
      </w:r>
    </w:p>
    <w:tbl>
      <w:tblPr>
        <w:tblStyle w:val="18"/>
        <w:tblW w:w="13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040"/>
        <w:gridCol w:w="2082"/>
        <w:gridCol w:w="765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3"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04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082"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654"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1172"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szCs w:val="21"/>
              </w:rPr>
              <w:t>1</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秦巴中药材种质资源研究中心</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对以洋县为中心的秦巴中药种质资源征集保存，开展药用植物新品种的选育，加强特异种质材料的利用研究，组织开展种质创新工作。</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szCs w:val="21"/>
              </w:rPr>
              <w:t>2</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中药材循环加工产业园</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北部和东部山区丘陵为重点</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开展优良有机药材的集中化收购；实现天然药材加工的工艺优化创新，以及园区生产废物废水处理及资源化利用技术研发；构建以医药加工为核心的全生产链智慧化管理应用平台。</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szCs w:val="21"/>
              </w:rPr>
              <w:t>3</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中药材标准体系建设平台</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探索建立中药材标准制定、修订、实施、评价等长效机制；制定主导品种中药材种子种苗、中药材质量标准、中药材商品规格等级标准，制定良种繁育、标准种植（养殖）、采收加工、产地加工、包装贮藏运输等全过程操作规范。</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szCs w:val="21"/>
              </w:rPr>
              <w:t>4</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厚朴特色产业带</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关帝镇铁河村片区为核心的北部山区</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以关帝镇铁河村片区为核心，在北部山区建设全国最大的厚朴基地，逐步建设集中药材种植、观光为一体的融合发展示范项目，打造中国厚朴之乡。</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5</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有机果品基地</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龙亭镇杜村、龙亭村等，磨子桥镇张山下村、华阳镇小华阳村等地</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发展有机猕猴桃5000亩，全县新建有机猕猴桃、有机梨、有机柑桔基地各1万亩；实施“灯、板、带、芯、螨”等绿色防控技术；配套节水灌溉设施；推广水肥一体化技术；建设配套果品加工、仓储、物流体系。</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color w:val="000000"/>
                <w:szCs w:val="21"/>
              </w:rPr>
              <w:t>6</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有机农旅体验项目</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龙亭镇、黄金峡镇、华阳镇等</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提供农耕、采摘、体验加工等有机农产品特色体验项目，打造“农旅共生”型乡村旅游模式。</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bl>
    <w:p>
      <w:pPr>
        <w:jc w:val="center"/>
        <w:rPr>
          <w:rFonts w:ascii="宋体" w:hAnsi="宋体" w:eastAsia="宋体" w:cs="宋体"/>
          <w:szCs w:val="21"/>
        </w:rPr>
        <w:sectPr>
          <w:headerReference r:id="rId39" w:type="default"/>
          <w:footerReference r:id="rId40" w:type="default"/>
          <w:footerReference r:id="rId41" w:type="even"/>
          <w:pgSz w:w="16838" w:h="11906" w:orient="landscape"/>
          <w:pgMar w:top="1531" w:right="2041" w:bottom="1417" w:left="1928" w:header="851" w:footer="397" w:gutter="0"/>
          <w:pgNumType w:fmt="numberInDash" w:start="101"/>
          <w:cols w:space="0" w:num="1"/>
          <w:docGrid w:type="lines" w:linePitch="319" w:charSpace="0"/>
        </w:sectPr>
      </w:pPr>
    </w:p>
    <w:tbl>
      <w:tblPr>
        <w:tblStyle w:val="18"/>
        <w:tblW w:w="13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040"/>
        <w:gridCol w:w="2082"/>
        <w:gridCol w:w="765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7</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智能生产车间及智能工厂</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围绕黑米等农产品深加工、谢村黄酒等产业，提升制造自动化、智能化水平。</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8</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农产品冷链物流体系</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针对果品、蔬菜等农产品运输需求，完善多温层节能冷库、加工配送中心、末端冷链设施等基础配套，提升冷链物流运送效率。</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9</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 xml:space="preserve">特色农产品加工园 </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有机产业园及相关乡镇</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建设集农产品加工产品开发、农产品冷链物流为一体的特色农产品加工园，将红薯、有机禽畜类等特色有机产品集中深加工，加强有机产业集聚。</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10</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现代物流智能管理平台</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建立物流数据库，提供物流状态实时跟踪与管理、物流数据传递与分析、物流管理决策优化等功能。</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11</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农业高端人才创新工作站</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提供人才引进、人才培育、创新激励等功能。</w:t>
            </w:r>
          </w:p>
        </w:tc>
        <w:tc>
          <w:tcPr>
            <w:tcW w:w="1172" w:type="dxa"/>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12</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有机品牌运营平台</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推动有机品牌电商领域在内的多渠道营销；培育、知识产权应用、知识产权保护、知识产权文化普及等功能。</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13</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朱鹮梨园主题公园</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牛头山麓</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以朱鹮品牌为主体，深度开发主题式度假区，加强周边酒店、消费休闲街等配套设施的建设，打造“印象鹮乡”。</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14</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金沙湖湿地生态园</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金沙湖</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依托广阔的滨水湿地和优越的有机生态，打造集水上娱乐、运动休闲、婚庆旅居、养生养老于一体的生态度假圣地。</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15</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朱鹮创意文化中心</w:t>
            </w:r>
          </w:p>
        </w:tc>
        <w:tc>
          <w:tcPr>
            <w:tcW w:w="2082" w:type="dxa"/>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洋州街道</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围绕产业发展和文化建设需求，提供动画、动漫、电影、商标等文化产品设计及知识产权保护等服务。</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16</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朱鹮国际康养城</w:t>
            </w:r>
          </w:p>
        </w:tc>
        <w:tc>
          <w:tcPr>
            <w:tcW w:w="2082" w:type="dxa"/>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洋州街道</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以“秦巴山水、康养福地”为主题，构建“住、养、医、护、康”五位一体健康养生模式，打造洋县康养品牌项目。</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新建类</w:t>
            </w:r>
          </w:p>
        </w:tc>
      </w:tr>
    </w:tbl>
    <w:p>
      <w:pPr>
        <w:jc w:val="center"/>
        <w:rPr>
          <w:rFonts w:ascii="宋体" w:hAnsi="宋体" w:eastAsia="宋体" w:cs="宋体"/>
          <w:szCs w:val="21"/>
        </w:rPr>
        <w:sectPr>
          <w:headerReference r:id="rId42" w:type="default"/>
          <w:footerReference r:id="rId43" w:type="default"/>
          <w:pgSz w:w="16838" w:h="11906" w:orient="landscape"/>
          <w:pgMar w:top="1531" w:right="2041" w:bottom="1417" w:left="1928" w:header="851" w:footer="397" w:gutter="0"/>
          <w:pgNumType w:fmt="numberInDash"/>
          <w:cols w:space="0" w:num="1"/>
          <w:docGrid w:type="lines" w:linePitch="319" w:charSpace="0"/>
        </w:sectPr>
      </w:pPr>
    </w:p>
    <w:tbl>
      <w:tblPr>
        <w:tblStyle w:val="18"/>
        <w:tblW w:w="13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040"/>
        <w:gridCol w:w="2082"/>
        <w:gridCol w:w="765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17</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现代材料循环产业园（洋县</w:t>
            </w:r>
            <w:r>
              <w:rPr>
                <w:rFonts w:hint="eastAsia" w:ascii="宋体" w:hAnsi="宋体" w:eastAsia="宋体" w:cs="宋体"/>
                <w:color w:val="000000"/>
                <w:szCs w:val="21"/>
                <w:lang w:eastAsia="zh-CN"/>
              </w:rPr>
              <w:t>“</w:t>
            </w:r>
            <w:r>
              <w:rPr>
                <w:rFonts w:hint="eastAsia" w:ascii="宋体" w:hAnsi="宋体" w:eastAsia="宋体" w:cs="宋体"/>
                <w:color w:val="000000"/>
                <w:szCs w:val="21"/>
              </w:rPr>
              <w:t>十四五</w:t>
            </w:r>
            <w:r>
              <w:rPr>
                <w:rFonts w:hint="eastAsia" w:ascii="宋体" w:hAnsi="宋体" w:eastAsia="宋体" w:cs="宋体"/>
                <w:color w:val="000000"/>
                <w:szCs w:val="21"/>
                <w:lang w:eastAsia="zh-CN"/>
              </w:rPr>
              <w:t>”</w:t>
            </w:r>
            <w:r>
              <w:rPr>
                <w:rFonts w:hint="eastAsia" w:ascii="宋体" w:hAnsi="宋体" w:eastAsia="宋体" w:cs="宋体"/>
                <w:color w:val="000000"/>
                <w:szCs w:val="21"/>
              </w:rPr>
              <w:t>）</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桑溪镇</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培育现代材料产业龙头企业 10 个以上，打造 1 个 50 亿级现代材料产业基地，打造 3 个 10 亿级现代材料循环产业集群，培育 5条5亿级现代材料循环产业链。</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53"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18</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移民搬迁（脱贫）产业园</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磨子桥镇</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以乡村振兴为战略，以促进就业，推进农民持续增收为核心，推动电子信息、服装制造等轻型工业劳动密集环节落户产业园区。</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19</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山区有机菌菇加工基地</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北部和东部山区丘陵为重点</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重新整合县域内菌菇生产模式，选择2到3个重点区域集中开展菌菇培育基地建设，以此带动全县有机菌菇品牌化规模化发展。</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20</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谢村北派黄酒文化博物馆</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谢村镇</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以北派黄酒文化为核心建设黄酒文化博物馆，有效利用当地黄酒文化节，提升谢村黄酒的文化品牌影响力，同时丰富洋县旅游文化内涵。</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21</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有机禽畜产品追溯系统</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有机产业园及相关乡镇</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实现有机禽畜类产品“一物一码”，从养殖、加工、物流冷链到产品销售全程可追踪，打造洋县有机品牌版图下的有机禽畜大类，同步积极开拓海外有机产品市场。</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22</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有机黑米生长展示综合宣传活动</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有机黑米为主体，结合洋县朱鹮特色，以视频及直播形式，全流程展示有机黑米生长流程及生长环境，从种植、生长、采收、加工、物流全流程展示有机产品生产过程，穿插其他有机农产品，直观展示洋县生态产品特色，打造“有机洋县”生态IP。</w:t>
            </w:r>
          </w:p>
        </w:tc>
        <w:tc>
          <w:tcPr>
            <w:tcW w:w="1172" w:type="dxa"/>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23</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有机红薯健康食品加工区</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洋县有机产业园</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主导有机健康理念，将有机红薯深加工为非油炸薯条、薯片、红薯干等零食类产品及红薯包、红薯泥等食品半成品，充分利用红薯粗粮减脂的特性，加工成为各类零食和预制擦菜品，实现红薯产品品类的有效扩张。</w:t>
            </w:r>
          </w:p>
        </w:tc>
        <w:tc>
          <w:tcPr>
            <w:tcW w:w="1172" w:type="dxa"/>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24</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有机农产品综合展销会</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综合利用数字化手段，以洋县有机产品为主体，联合秦巴山区周边县区，开展区域性有机农产品展销会。同步实现线上线下展销相结合，以直播等方式开展有机产品推介。</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3"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w:t>
            </w:r>
          </w:p>
        </w:tc>
        <w:tc>
          <w:tcPr>
            <w:tcW w:w="20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有机农产品创新中心</w:t>
            </w:r>
          </w:p>
        </w:tc>
        <w:tc>
          <w:tcPr>
            <w:tcW w:w="208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洋县县城</w:t>
            </w:r>
          </w:p>
        </w:tc>
        <w:tc>
          <w:tcPr>
            <w:tcW w:w="765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联合陕西农业高校及科研机构，共建有机农产品创新中心，重点突破有机产品加工、产品品类拓展、有机食品营养检测等方面，为洋县有机产品推广提供技术背书和产品版图扩张。</w:t>
            </w:r>
          </w:p>
        </w:tc>
        <w:tc>
          <w:tcPr>
            <w:tcW w:w="1172"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bl>
    <w:p>
      <w:pPr>
        <w:widowControl/>
        <w:ind w:firstLine="640" w:firstLineChars="200"/>
        <w:textAlignment w:val="center"/>
        <w:rPr>
          <w:rFonts w:ascii="黑体" w:hAnsi="宋体" w:eastAsia="黑体" w:cs="黑体"/>
          <w:color w:val="000000"/>
          <w:kern w:val="0"/>
          <w:sz w:val="32"/>
          <w:szCs w:val="32"/>
        </w:rPr>
        <w:sectPr>
          <w:headerReference r:id="rId44" w:type="default"/>
          <w:footerReference r:id="rId45" w:type="default"/>
          <w:pgSz w:w="16838" w:h="11906" w:orient="landscape"/>
          <w:pgMar w:top="1531" w:right="2041" w:bottom="1417" w:left="1928" w:header="851" w:footer="397" w:gutter="0"/>
          <w:pgNumType w:fmt="numberInDash"/>
          <w:cols w:space="0" w:num="1"/>
          <w:docGrid w:type="lines" w:linePitch="319" w:charSpace="0"/>
        </w:sectPr>
      </w:pPr>
    </w:p>
    <w:p>
      <w:pPr>
        <w:widowControl/>
        <w:ind w:firstLine="640" w:firstLineChars="200"/>
        <w:textAlignment w:val="center"/>
        <w:rPr>
          <w:rFonts w:ascii="黑体" w:hAnsi="宋体" w:eastAsia="黑体"/>
          <w:color w:val="000000"/>
          <w:kern w:val="0"/>
          <w:sz w:val="32"/>
          <w:szCs w:val="32"/>
        </w:rPr>
      </w:pPr>
      <w:r>
        <w:rPr>
          <w:rFonts w:hint="eastAsia" w:ascii="黑体" w:hAnsi="宋体" w:eastAsia="黑体" w:cs="黑体"/>
          <w:color w:val="000000"/>
          <w:kern w:val="0"/>
          <w:sz w:val="32"/>
          <w:szCs w:val="32"/>
        </w:rPr>
        <w:t>二、</w:t>
      </w:r>
      <w:r>
        <w:rPr>
          <w:rFonts w:hint="eastAsia" w:ascii="黑体" w:hAnsi="黑体" w:eastAsia="黑体"/>
          <w:sz w:val="32"/>
          <w:szCs w:val="32"/>
        </w:rPr>
        <w:t>公共性生态产品类</w:t>
      </w:r>
    </w:p>
    <w:tbl>
      <w:tblPr>
        <w:tblStyle w:val="18"/>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055"/>
        <w:gridCol w:w="2500"/>
        <w:gridCol w:w="754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05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50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544"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976"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国家储备林基地建设</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华阳镇、茅坪镇、八里关镇、黄金峡镇等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采取人工林集约栽培、现有林改培、抚育及补植补造等措施，重点发展栓皮栎、桦木、漆树、榉树、椴树等珍稀树种和大径级用材林，国家储备林总面积达到10万亩。</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大径材（大径级林木）基地建设</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华阳镇、龙亭镇、八里关镇、槐树关镇等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依托国有林场，林业合作社、家庭林场等，选择相对集中连片、交通条件便利、立地条件较好、林分条件适宜的区域，采用现有林提质培育、改造培育及造林培育等方式，培育优质大径材资源，面积达到10万亩。</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高质量水源林建设</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黄金峡镇、关帝镇、磨子桥镇、马畅镇等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对国家“南水北调”、陕西“引汉济渭”工程饮用水水源保护区、县城供水水源地，以疏残林、果树林等为修复对象，采取新造、改造的方式，培育多树种混交的近自然林，加快建设高质量水源林10万亩。</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珍贵树种基地建设</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华阳镇、龙亭镇、八里关镇、槐树关镇等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依托国有林场、林业合作社和林业大户等，选择立地条件较好的采伐迹地、火烧迹地、病虫害迹地、</w:t>
            </w:r>
            <w:r>
              <w:rPr>
                <w:rFonts w:hint="eastAsia" w:ascii="宋体" w:hAnsi="宋体" w:eastAsia="宋体" w:cs="宋体"/>
                <w:color w:val="000000"/>
                <w:szCs w:val="21"/>
                <w:lang w:eastAsia="zh-CN"/>
              </w:rPr>
              <w:t>撂荒</w:t>
            </w:r>
            <w:r>
              <w:rPr>
                <w:rFonts w:hint="eastAsia" w:ascii="宋体" w:hAnsi="宋体" w:eastAsia="宋体" w:cs="宋体"/>
                <w:color w:val="000000"/>
                <w:szCs w:val="21"/>
              </w:rPr>
              <w:t>地等加快建设珍贵树种基地，大力发展栓皮栎、桦木、漆树、榉树、椴树等具有药用、园林、生态、用材价值的珍稀树种。</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古树公园</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华阳镇、黄金峡镇等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确定古树划分标准，完善古树保护策略，强化周边区域环境整治，增</w:t>
            </w:r>
            <w:r>
              <w:rPr>
                <w:rFonts w:hint="eastAsia" w:ascii="宋体" w:hAnsi="宋体" w:eastAsia="宋体" w:cs="宋体"/>
                <w:color w:val="000000"/>
                <w:szCs w:val="21"/>
                <w:lang w:val="en-US" w:eastAsia="zh-CN"/>
              </w:rPr>
              <w:t>设</w:t>
            </w:r>
            <w:r>
              <w:rPr>
                <w:rFonts w:hint="eastAsia" w:ascii="宋体" w:hAnsi="宋体" w:eastAsia="宋体" w:cs="宋体"/>
                <w:color w:val="000000"/>
                <w:szCs w:val="21"/>
              </w:rPr>
              <w:t>旅游设施，带动乡村旅游发展，建设古树公园5个。</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森林村庄</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县域各乡镇</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建设森林村庄100个。</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彩色森林</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S218、S103、G5等交通型干道及傥骆古道等游赏型道路以及县城、朱鹮梨园景区、金沙湖景区、黄金峡等重点区域</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采取抽针补阔、补植造林、疏伐改造、间伐抚育等措施，对交通型干道及游赏型道路沿路沿线彩色森林改造提升，提高彩色树种、花灌木比例，丰富物种与群落层次，形成具有特色主题的景观大道。</w:t>
            </w:r>
          </w:p>
          <w:p>
            <w:pPr>
              <w:rPr>
                <w:rFonts w:ascii="宋体" w:hAnsi="宋体" w:eastAsia="宋体" w:cs="宋体"/>
                <w:color w:val="000000"/>
                <w:szCs w:val="21"/>
              </w:rPr>
            </w:pPr>
            <w:r>
              <w:rPr>
                <w:rFonts w:hint="eastAsia" w:ascii="宋体" w:hAnsi="宋体" w:eastAsia="宋体" w:cs="宋体"/>
                <w:color w:val="000000"/>
                <w:szCs w:val="21"/>
              </w:rPr>
              <w:t>对重点区域周边可视范围内的大型生态斑块的林相景观进行提升改造，优化树种组成，重点加入能体现一年四季变化的优良彩色阔叶树种，打造多样性明显丰富、四季景象富于变化的森林景观，提升城市和景区“颜值”。</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bl>
    <w:p>
      <w:pPr>
        <w:jc w:val="center"/>
        <w:rPr>
          <w:rFonts w:ascii="宋体" w:hAnsi="宋体" w:eastAsia="宋体" w:cs="宋体"/>
          <w:color w:val="000000"/>
          <w:szCs w:val="21"/>
        </w:rPr>
        <w:sectPr>
          <w:headerReference r:id="rId46" w:type="default"/>
          <w:footerReference r:id="rId47" w:type="default"/>
          <w:pgSz w:w="16838" w:h="11906" w:orient="landscape"/>
          <w:pgMar w:top="1531" w:right="2041" w:bottom="1417" w:left="1928" w:header="851" w:footer="397" w:gutter="0"/>
          <w:pgNumType w:fmt="numberInDash"/>
          <w:cols w:space="0" w:num="1"/>
          <w:docGrid w:type="lines" w:linePitch="319" w:charSpace="0"/>
        </w:sectPr>
      </w:pPr>
    </w:p>
    <w:tbl>
      <w:tblPr>
        <w:tblStyle w:val="18"/>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055"/>
        <w:gridCol w:w="2500"/>
        <w:gridCol w:w="754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特色经济林基地</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槐树关镇、马畅镇、龙亭镇等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实施核桃、花椒低产园改造项目，全面落实高接换优、集水灌溉、配方施肥、烟雾防霜等关键管理措施，加快核桃、花椒、板栗现有经济林基地提质增效和转型升级；扶持银杏采叶林、油用牡丹、香橼等特色苗木花卉种植扩规模、提品质、创品牌；扩大有机黄金梨、猕猴桃、黄桃等优质水果种植面积，积极引进爱媛38号、春见等深受市场追捧柑橘新品种，打造优势水果基地；培育一批省级和国家级林下经济示范基地。</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9</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清新空气示范区</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全县</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探索清新空气示范区评价办法；主动调整能源消费结构；深化工业企业废气治理；全面控制移动源污染排放。</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10</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黑稻田湿地公园</w:t>
            </w:r>
          </w:p>
        </w:tc>
        <w:tc>
          <w:tcPr>
            <w:tcW w:w="2500" w:type="dxa"/>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洋州街道</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黑稻田湿地公园规划用地总面积234.25亩，新建湿地公园138.05亩，配套建设项目区周边青阳路、永平路、东二环路、横七路等城市道路。</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2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11</w:t>
            </w:r>
          </w:p>
        </w:tc>
        <w:tc>
          <w:tcPr>
            <w:tcW w:w="205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河湖库水系连通</w:t>
            </w:r>
          </w:p>
        </w:tc>
        <w:tc>
          <w:tcPr>
            <w:tcW w:w="250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谢村镇、黄金峡镇、关帝镇、金水镇、华阳镇、桑溪镇等</w:t>
            </w:r>
          </w:p>
        </w:tc>
        <w:tc>
          <w:tcPr>
            <w:tcW w:w="754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靳家河水库至上沟水库、大井沟水库至石板沟水库、寨坡水库至刘家沟水库、两河口水库至夭庄水库、程家河水库至小刘家沟水库、引酉干渠到各调蓄水库的连接管道及渠道建设，有效改善流域水生态。</w:t>
            </w:r>
          </w:p>
        </w:tc>
        <w:tc>
          <w:tcPr>
            <w:tcW w:w="97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bl>
    <w:p>
      <w:pPr>
        <w:widowControl/>
        <w:ind w:firstLine="640" w:firstLineChars="200"/>
        <w:jc w:val="left"/>
        <w:textAlignment w:val="center"/>
        <w:rPr>
          <w:rFonts w:ascii="黑体" w:hAnsi="宋体" w:eastAsia="黑体"/>
          <w:color w:val="000000"/>
          <w:kern w:val="0"/>
          <w:sz w:val="32"/>
          <w:szCs w:val="32"/>
        </w:rPr>
      </w:pPr>
      <w:r>
        <w:rPr>
          <w:rFonts w:hint="eastAsia" w:ascii="黑体" w:hAnsi="宋体" w:eastAsia="黑体" w:cs="黑体"/>
          <w:color w:val="000000"/>
          <w:kern w:val="0"/>
          <w:sz w:val="32"/>
          <w:szCs w:val="32"/>
        </w:rPr>
        <w:t>三、</w:t>
      </w:r>
      <w:r>
        <w:rPr>
          <w:rFonts w:hint="eastAsia" w:ascii="黑体" w:hAnsi="黑体" w:eastAsia="黑体"/>
          <w:sz w:val="32"/>
          <w:szCs w:val="32"/>
        </w:rPr>
        <w:t>“两山通道”转化类</w:t>
      </w:r>
    </w:p>
    <w:tbl>
      <w:tblPr>
        <w:tblStyle w:val="18"/>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85"/>
        <w:gridCol w:w="2385"/>
        <w:gridCol w:w="767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7"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08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38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673"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97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林业碳汇基地建设</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华阳镇、茅坪镇、八里关镇、关帝镇、溢水镇等</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对适合发展森林碳汇产业的生态资源进行排查、摸底、确权；支持国有林场、民营企业、林业合作社和林业大户采用CCER（国家自愿核证减排量）模式，按照国家已经出台的碳汇造林方法学或森林经营项目作业设计等要求，高起点、高标准建设森林碳汇基地。</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碳排放权交易参与项目</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成立洋县碳汇林管理有限公司全权负责碳汇开发、减排量交易等事务；对接外部交易市场，推进森林碳汇产品进入碳交易平台挂牌出售；推动开展“两高”企业购买林业碳汇项目减排量试点工作；争取国内意向举办“零碳”活动的大型展览展会等购买洋县森林经营碳汇项目以抵消碳排放。</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bl>
    <w:p>
      <w:pPr>
        <w:jc w:val="center"/>
        <w:rPr>
          <w:rFonts w:ascii="宋体" w:hAnsi="宋体" w:eastAsia="宋体" w:cs="宋体"/>
          <w:color w:val="000000"/>
          <w:szCs w:val="21"/>
        </w:rPr>
        <w:sectPr>
          <w:headerReference r:id="rId48" w:type="default"/>
          <w:footerReference r:id="rId49" w:type="default"/>
          <w:pgSz w:w="16838" w:h="11906" w:orient="landscape"/>
          <w:pgMar w:top="1531" w:right="2041" w:bottom="1417" w:left="1928" w:header="851" w:footer="397" w:gutter="0"/>
          <w:pgNumType w:fmt="numberInDash"/>
          <w:cols w:space="0" w:num="1"/>
          <w:docGrid w:type="lines" w:linePitch="319" w:charSpace="0"/>
        </w:sectPr>
      </w:pPr>
    </w:p>
    <w:tbl>
      <w:tblPr>
        <w:tblStyle w:val="18"/>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85"/>
        <w:gridCol w:w="2385"/>
        <w:gridCol w:w="767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森林覆盖率资源权益指标交易试点推进项目</w:t>
            </w:r>
          </w:p>
        </w:tc>
        <w:tc>
          <w:tcPr>
            <w:tcW w:w="2385" w:type="dxa"/>
            <w:shd w:val="clear" w:color="auto" w:fill="auto"/>
            <w:vAlign w:val="center"/>
          </w:tcPr>
          <w:p>
            <w:pPr>
              <w:rPr>
                <w:rFonts w:ascii="宋体" w:hAnsi="宋体" w:eastAsia="宋体" w:cs="宋体"/>
                <w:color w:val="000000"/>
                <w:szCs w:val="21"/>
              </w:rPr>
            </w:pP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主动对接省市林业部门，先行对森林覆盖率认定标准、城市内部乔木林折算系数和造林及管护成本测算等森林覆盖率资源权益交易必须的关键环节开展前期研究和准备工作，为陕西省推进实施横向生态补偿提高森林覆盖率奠定基础。</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清水增量责任指标交易项目</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有机产业园</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鼓励企业加大节水力度，优先配置使用雨水、中水、可再生水，支持企业将节水富余的水资源使用权用于水权市场交易。</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生态价值“基准地价”试点项目</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桑溪镇、金水镇、黄金峡镇</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研究制定包括空气、水质、植被、土壤等能够反映生态产品价值的指标体系，编制生态价值“基准地价”分区分级图，试行有机农产品、民宿等市场价格与生态价值“基准地价”相挂钩的“溢价”机制，实现生态环境优质区域“明码标价”。</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环境敏感型产业树全景图编制</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673" w:type="dxa"/>
            <w:shd w:val="clear" w:color="auto" w:fill="auto"/>
            <w:vAlign w:val="center"/>
          </w:tcPr>
          <w:p>
            <w:pPr>
              <w:rPr>
                <w:rFonts w:ascii="宋体" w:hAnsi="宋体" w:eastAsia="宋体" w:cs="宋体"/>
                <w:b/>
                <w:bCs/>
                <w:color w:val="000000"/>
                <w:szCs w:val="21"/>
              </w:rPr>
            </w:pPr>
            <w:r>
              <w:rPr>
                <w:rFonts w:hint="eastAsia" w:ascii="宋体" w:hAnsi="宋体" w:eastAsia="宋体" w:cs="宋体"/>
                <w:color w:val="000000"/>
                <w:szCs w:val="21"/>
              </w:rPr>
              <w:t>瞄准洁净医药、电子元器件等高度依赖洁净水源、清洁空气、适宜气候的重点产业链，精准收集包括行业、园区、龙头企业、产业政策等与招商引资密切相关的信息，编制环境敏感型产业树全景图，建立重点项目库，建立环境敏感型产业招商路线图。</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生态赋能乡村产业发展模式项目</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马畅、谢村、华阳、茅坪和八里关、金水、黄金峡等乡镇</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鼓励马畅、谢村等乡镇引进农业物联网等新兴技术，打造“生态+有机农业+数字”的产业发展模式；华阳、茅坪和八里关等北部乡镇借势华阳景区带来的客流，开发乡村旅游产品，加快发展“生态+景区+旅游”融合新业态；引导金水、黄金峡等东部乡镇抢抓金水大峡谷景区和金水银滩度假区建设项目带来的机遇，深化美丽乡村建设，打造“生态+美丽乡村+旅游+康养” 等产业融合发展模式。</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c>
          <w:tcPr>
            <w:tcW w:w="20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单株碳汇扶持低收入家庭项目</w:t>
            </w:r>
          </w:p>
        </w:tc>
        <w:tc>
          <w:tcPr>
            <w:tcW w:w="238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关帝镇、桑溪镇、黄家营镇等</w:t>
            </w:r>
          </w:p>
        </w:tc>
        <w:tc>
          <w:tcPr>
            <w:tcW w:w="767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建立单株碳汇精准扶贫大数据平台，开展农村低收入家庭林地统计、碳汇量测算、数据录入工作，鼓励外界购买低收入家庭林地所生成的碳汇，购买资金全额进入低收入家庭个人银行账户。</w:t>
            </w:r>
          </w:p>
        </w:tc>
        <w:tc>
          <w:tcPr>
            <w:tcW w:w="97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bl>
    <w:p>
      <w:pPr>
        <w:widowControl/>
        <w:ind w:firstLine="640" w:firstLineChars="200"/>
        <w:jc w:val="left"/>
        <w:textAlignment w:val="center"/>
        <w:rPr>
          <w:rFonts w:ascii="黑体" w:hAnsi="宋体" w:eastAsia="黑体" w:cs="黑体"/>
          <w:color w:val="000000"/>
          <w:kern w:val="0"/>
          <w:sz w:val="32"/>
          <w:szCs w:val="32"/>
        </w:rPr>
        <w:sectPr>
          <w:headerReference r:id="rId50" w:type="default"/>
          <w:footerReference r:id="rId51" w:type="default"/>
          <w:pgSz w:w="16838" w:h="11906" w:orient="landscape"/>
          <w:pgMar w:top="1531" w:right="2041" w:bottom="1417" w:left="1928" w:header="851" w:footer="397" w:gutter="0"/>
          <w:pgNumType w:fmt="numberInDash"/>
          <w:cols w:space="0" w:num="1"/>
          <w:docGrid w:type="lines" w:linePitch="319" w:charSpace="0"/>
        </w:sectPr>
      </w:pPr>
    </w:p>
    <w:p>
      <w:pPr>
        <w:widowControl/>
        <w:ind w:firstLine="640" w:firstLineChars="200"/>
        <w:jc w:val="left"/>
        <w:textAlignment w:val="center"/>
        <w:rPr>
          <w:rFonts w:ascii="黑体" w:hAnsi="宋体" w:eastAsia="黑体"/>
          <w:color w:val="000000"/>
          <w:kern w:val="0"/>
          <w:sz w:val="32"/>
          <w:szCs w:val="32"/>
        </w:rPr>
      </w:pPr>
      <w:r>
        <w:rPr>
          <w:rFonts w:hint="eastAsia" w:ascii="黑体" w:hAnsi="宋体" w:eastAsia="黑体" w:cs="黑体"/>
          <w:color w:val="000000"/>
          <w:kern w:val="0"/>
          <w:sz w:val="32"/>
          <w:szCs w:val="32"/>
        </w:rPr>
        <w:t>四、重大功能平台类</w:t>
      </w:r>
    </w:p>
    <w:tbl>
      <w:tblPr>
        <w:tblStyle w:val="18"/>
        <w:tblW w:w="13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370"/>
        <w:gridCol w:w="2010"/>
        <w:gridCol w:w="7478"/>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0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37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01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478"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1147"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华阳康养度假综合小镇</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 xml:space="preserve">华阳镇 </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以历史悠久的华阳古镇和被称为“生物资源库”的长青自然保护区为核心，完善“四宝园”等关键景点配套文化中心及小镇旅游服务中心建设.</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洋县绿色智造创新中心</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围绕电子信息、新材料、功能食品、节能环保等新兴产业，推动产业协作创新，推广智能工厂，数字管理等新技术应用。</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高端线缆线束生态产业园</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磨子桥镇</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重点发展汽车高端线束、电子信息传输线缆、特种数据传输线缆以及电线电缆设备智能制造等深细分产业；引进行业龙头企业及相关配套企业10家。</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省级功能食品检测平台及研发中心</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有机产业园</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对接中国农业大学、西北农林科技大学等，建立功能食品研发中心</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有机食品省级工程（技术）研究中心</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有机产业园</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依托陕西双亚集团等企业建立省级工程中心，重点开展有机食品生产工艺、产品质量关键技术以及新产品开发，建立检测标准。</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生态产品线上交易门户网站建设项目</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对接国内有影响力的资产交易类中介机构，联合组建综合管理平台公司；建设基于互联网+、云计算等信息技术的交易平台体系；提供生态产品发布管理、交易管理、征信管理等核心功能；打造功能强大、安全高效、界面友好的网络交易系统。</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洋县生态产品展览展示交易中心</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洋县城西蔡伦广场，适时启动生态产品展览展示交易中心建设，加快打造洋县有机产品集中展示窗口，适时导入生态产权线下交易功能，积极引入会议论坛、博览会展功能，打造多功能集成的生态产品线下交易中心。</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生物多样性调查、监测项目</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华阳镇、茅坪镇、关帝镇、八里关镇、溢水镇等</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组织开展全县生物多样性本底调查。开展洋县生物多样性调查与编目工作，制定洋县特有物种、濒危物种名单。制定洋县生物多样性监测方案，开展自然保护区等优先区域及珍稀濒危物种集中分布地长期动态监测。</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05"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9</w:t>
            </w:r>
          </w:p>
        </w:tc>
        <w:tc>
          <w:tcPr>
            <w:tcW w:w="237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生物多样性可持续利用水平提升项目</w:t>
            </w:r>
          </w:p>
        </w:tc>
        <w:tc>
          <w:tcPr>
            <w:tcW w:w="201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华阳镇</w:t>
            </w:r>
          </w:p>
        </w:tc>
        <w:tc>
          <w:tcPr>
            <w:tcW w:w="7478"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依托华阳景区和华阳古镇，持续挖掘生物多样性资源和植物种质资源的旅游文化价值，积极推进秦岭野生植物基因库、植物园、百花园、百果园、百草园等项目建设，促进生物多样性保护与开发利用示范区协同发展。</w:t>
            </w:r>
          </w:p>
        </w:tc>
        <w:tc>
          <w:tcPr>
            <w:tcW w:w="1147"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新建</w:t>
            </w:r>
          </w:p>
        </w:tc>
      </w:tr>
    </w:tbl>
    <w:p>
      <w:pPr>
        <w:widowControl/>
        <w:ind w:firstLine="640" w:firstLineChars="200"/>
        <w:textAlignment w:val="center"/>
        <w:rPr>
          <w:rFonts w:ascii="黑体" w:hAnsi="宋体" w:eastAsia="黑体" w:cs="黑体"/>
          <w:color w:val="000000"/>
          <w:kern w:val="0"/>
          <w:sz w:val="32"/>
          <w:szCs w:val="32"/>
        </w:rPr>
        <w:sectPr>
          <w:headerReference r:id="rId52" w:type="default"/>
          <w:footerReference r:id="rId53" w:type="default"/>
          <w:pgSz w:w="16838" w:h="11906" w:orient="landscape"/>
          <w:pgMar w:top="1531" w:right="2041" w:bottom="1417" w:left="1928" w:header="851" w:footer="397" w:gutter="0"/>
          <w:pgNumType w:fmt="numberInDash"/>
          <w:cols w:space="0" w:num="1"/>
          <w:docGrid w:type="lines" w:linePitch="319" w:charSpace="0"/>
        </w:sectPr>
      </w:pPr>
    </w:p>
    <w:p>
      <w:pPr>
        <w:widowControl/>
        <w:ind w:firstLine="640" w:firstLineChars="200"/>
        <w:textAlignment w:val="center"/>
        <w:rPr>
          <w:rFonts w:ascii="黑体" w:hAnsi="黑体" w:eastAsia="黑体"/>
          <w:sz w:val="32"/>
          <w:szCs w:val="32"/>
        </w:rPr>
      </w:pPr>
      <w:r>
        <w:rPr>
          <w:rFonts w:hint="eastAsia" w:ascii="黑体" w:hAnsi="宋体" w:eastAsia="黑体" w:cs="黑体"/>
          <w:color w:val="000000"/>
          <w:kern w:val="0"/>
          <w:sz w:val="32"/>
          <w:szCs w:val="32"/>
        </w:rPr>
        <w:t>五、</w:t>
      </w:r>
      <w:r>
        <w:rPr>
          <w:rFonts w:hint="eastAsia" w:ascii="黑体" w:hAnsi="黑体" w:eastAsia="黑体"/>
          <w:sz w:val="32"/>
          <w:szCs w:val="32"/>
        </w:rPr>
        <w:t>生态产品价值实现机制类</w:t>
      </w:r>
    </w:p>
    <w:tbl>
      <w:tblPr>
        <w:tblStyle w:val="18"/>
        <w:tblW w:w="13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384"/>
        <w:gridCol w:w="2340"/>
        <w:gridCol w:w="710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6"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384"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34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102"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114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知名大学洋县生态产品研究院</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以国内知名大学为依托，联手共建研究院，科学制定生态价值核算标准，加速生态核算标准进体系、进考核、进市场。</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数字经济“一号工程”</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县城</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以打造创新平台、推动场景应用为主要方向，积极推进与阿里云、网易、海康威视等数字经济龙头企业战略合作，构建“生态+”“文化+”“数字+”相互促进的数字生态产业体系，培育“新农人”、吸引“城创客”、发展新主体。</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两山生态资源运营管理公司</w:t>
            </w:r>
            <w:r>
              <w:rPr>
                <w:rFonts w:hint="eastAsia" w:ascii="宋体" w:hAnsi="宋体" w:eastAsia="宋体" w:cs="宋体"/>
                <w:color w:val="000000"/>
                <w:kern w:val="0"/>
                <w:szCs w:val="21"/>
              </w:rPr>
              <w:t>建设试点</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槐树关镇、金水镇、桑溪镇等乡镇</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率先启动乡级GEP核算工作；</w:t>
            </w:r>
            <w:r>
              <w:rPr>
                <w:rFonts w:hint="eastAsia" w:ascii="宋体" w:hAnsi="宋体" w:eastAsia="宋体" w:cs="宋体"/>
                <w:color w:val="000000" w:themeColor="text1"/>
                <w:szCs w:val="21"/>
              </w:rPr>
              <w:t>成立乡镇“两山生态资源运营管理公司”公司的子公司或分公司，</w:t>
            </w:r>
            <w:r>
              <w:rPr>
                <w:rFonts w:hint="eastAsia" w:ascii="宋体" w:hAnsi="宋体" w:eastAsia="宋体" w:cs="宋体"/>
                <w:color w:val="000000"/>
                <w:szCs w:val="21"/>
              </w:rPr>
              <w:t>组织开展生态贷、“两山”贷等工作；构建生态资源“调查—评估—管控—流转—储备—策划—提升—开发—监管”的全过程工作机制；联动金融机构、融资担保机构，构建资产储备—融资担保—价值实现高效转化机制；建立 “利息+分红”回馈机制，激励各类主体将资源资产存入“两山生态资源运营管理公司”。</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农民参与生态产权交易试点</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金水镇、桑溪镇</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开展公益林补偿收益权质押贷款、林业碳汇预期收益权质押贷款、森林赎买抵押贷款试点；探索古树贷、古屋贷等抵质押贷款模式。</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生态服务体验园</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全县</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建设以观赏牡丹园、田园风情蜂蜜产品、有机食用菌、银杏全食疗、有机蓝莓采摘为主的生态服务体验园5个。</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384"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生态产品价值实现乡村示范点</w:t>
            </w:r>
          </w:p>
          <w:p>
            <w:pPr>
              <w:rPr>
                <w:rFonts w:ascii="宋体" w:hAnsi="宋体" w:eastAsia="宋体" w:cs="宋体"/>
                <w:color w:val="000000"/>
                <w:szCs w:val="21"/>
              </w:rPr>
            </w:pP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龙亭镇、谢村镇、马畅镇、磨子桥镇、华阳镇、金水镇、桑溪镇</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大力推动龙亭镇、谢村镇、马畅镇、磨子桥镇、华阳镇、金水镇、桑溪镇打造经济强镇，围绕“一村一品”布局特色产业，加快布局休闲农业、乡村旅游、农产品精深加工等多种农村经济模式。</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66"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2384"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生态产品文化推广活动</w:t>
            </w:r>
          </w:p>
        </w:tc>
        <w:tc>
          <w:tcPr>
            <w:tcW w:w="23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themeColor="text1"/>
                <w:szCs w:val="21"/>
              </w:rPr>
              <w:t>纸坊街道</w:t>
            </w:r>
            <w:r>
              <w:rPr>
                <w:rFonts w:hint="eastAsia" w:ascii="宋体" w:hAnsi="宋体" w:eastAsia="宋体" w:cs="宋体"/>
                <w:color w:val="000000"/>
                <w:szCs w:val="21"/>
              </w:rPr>
              <w:t>、磨子桥镇等</w:t>
            </w:r>
          </w:p>
        </w:tc>
        <w:tc>
          <w:tcPr>
            <w:tcW w:w="7102"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纸坊街道、磨子桥镇等乡镇街道积极承办“有机农产品”年货节、农业文创大赛等推广活动；长青自然保护区、朱鹮保护区积极创造朱鹮、大熊猫、金丝猴、羚牛等独特文化产品。</w:t>
            </w:r>
          </w:p>
        </w:tc>
        <w:tc>
          <w:tcPr>
            <w:tcW w:w="11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bl>
    <w:p>
      <w:pPr>
        <w:widowControl/>
        <w:ind w:firstLine="640" w:firstLineChars="200"/>
        <w:textAlignment w:val="center"/>
        <w:rPr>
          <w:rFonts w:ascii="黑体" w:hAnsi="宋体" w:eastAsia="黑体" w:cs="黑体"/>
          <w:color w:val="000000"/>
          <w:kern w:val="0"/>
          <w:sz w:val="32"/>
          <w:szCs w:val="32"/>
        </w:rPr>
        <w:sectPr>
          <w:headerReference r:id="rId54" w:type="default"/>
          <w:footerReference r:id="rId55" w:type="default"/>
          <w:pgSz w:w="16838" w:h="11906" w:orient="landscape"/>
          <w:pgMar w:top="1531" w:right="2041" w:bottom="1417" w:left="1928" w:header="851" w:footer="397" w:gutter="0"/>
          <w:pgNumType w:fmt="numberInDash"/>
          <w:cols w:space="0" w:num="1"/>
          <w:docGrid w:type="lines" w:linePitch="319" w:charSpace="0"/>
        </w:sectPr>
      </w:pPr>
    </w:p>
    <w:p>
      <w:pPr>
        <w:widowControl/>
        <w:ind w:firstLine="640" w:firstLineChars="200"/>
        <w:textAlignment w:val="center"/>
        <w:rPr>
          <w:rFonts w:ascii="黑体" w:hAnsi="宋体" w:eastAsia="黑体"/>
          <w:color w:val="000000"/>
          <w:kern w:val="0"/>
          <w:sz w:val="32"/>
          <w:szCs w:val="32"/>
        </w:rPr>
      </w:pPr>
      <w:r>
        <w:rPr>
          <w:rFonts w:hint="eastAsia" w:ascii="黑体" w:hAnsi="宋体" w:eastAsia="黑体" w:cs="黑体"/>
          <w:color w:val="000000"/>
          <w:kern w:val="0"/>
          <w:sz w:val="32"/>
          <w:szCs w:val="32"/>
        </w:rPr>
        <w:t>六、</w:t>
      </w:r>
      <w:r>
        <w:rPr>
          <w:rFonts w:hint="eastAsia" w:ascii="黑体" w:hAnsi="黑体" w:eastAsia="黑体"/>
          <w:sz w:val="32"/>
          <w:szCs w:val="32"/>
        </w:rPr>
        <w:t>支撑能力类</w:t>
      </w:r>
    </w:p>
    <w:tbl>
      <w:tblPr>
        <w:tblStyle w:val="18"/>
        <w:tblW w:w="13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423"/>
        <w:gridCol w:w="2405"/>
        <w:gridCol w:w="71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7"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423"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项目名称</w:t>
            </w:r>
          </w:p>
        </w:tc>
        <w:tc>
          <w:tcPr>
            <w:tcW w:w="2405"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项目地点</w:t>
            </w:r>
          </w:p>
        </w:tc>
        <w:tc>
          <w:tcPr>
            <w:tcW w:w="714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项目内容</w:t>
            </w:r>
          </w:p>
        </w:tc>
        <w:tc>
          <w:tcPr>
            <w:tcW w:w="94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242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县域公路交通网完善</w:t>
            </w:r>
          </w:p>
        </w:tc>
        <w:tc>
          <w:tcPr>
            <w:tcW w:w="240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全县</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省道S27洋镇高速洋县至西乡段、G5西汉高速洋县出口及龙亭出口通道及连接线扩建改造项目。G108、S315等国省道重点路段提质升级。</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242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通用机场</w:t>
            </w:r>
          </w:p>
        </w:tc>
        <w:tc>
          <w:tcPr>
            <w:tcW w:w="2405" w:type="dxa"/>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建议选址纸坊街道</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开展通用机场前期研究论证，预留机场建设用地。按照飞行区2B、跑道长度800-1200米等技术指标，规划建设洋县通用机场。</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242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水运能力提升项目</w:t>
            </w:r>
          </w:p>
        </w:tc>
        <w:tc>
          <w:tcPr>
            <w:tcW w:w="2405"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汉江洋县段</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疏浚汉江洋县段航道，整治碍航关闸桥梁，力争洋县段航道等级提升至四级标准。适时推进与航道规划等级相适应的港口、专业化泊位建设。</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242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中型灌区节水改造</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关帝镇、四郎镇等灌区覆盖乡镇</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重点对引酉灌区、</w:t>
            </w:r>
            <w:r>
              <w:rPr>
                <w:rFonts w:ascii="宋体" w:hAnsi="宋体" w:eastAsia="宋体" w:cs="宋体"/>
                <w:color w:val="000000"/>
                <w:szCs w:val="21"/>
              </w:rPr>
              <w:t>傥</w:t>
            </w:r>
            <w:r>
              <w:rPr>
                <w:rFonts w:hint="eastAsia" w:ascii="宋体" w:hAnsi="宋体" w:eastAsia="宋体" w:cs="宋体"/>
                <w:color w:val="000000"/>
                <w:szCs w:val="21"/>
              </w:rPr>
              <w:t>河水库灌区、湑惠渠马畅灌区、沙河灌区、峡口堰灌区等灌排水和节水设施改造提升。</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2423"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汉江河道和滩区综合提升治理工程</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汉江洋县段</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实施河滩防护及绿化工程</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秦岭国家公园</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秦岭保护区</w:t>
            </w:r>
          </w:p>
        </w:tc>
        <w:tc>
          <w:tcPr>
            <w:tcW w:w="714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推进生态系统修复、生态系统保护基础设施建设，强化朱鹮、红豆杉等生物多样性及环境保护，完善生态监测体系，推进国家公园入口社区建设。</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7" w:type="dxa"/>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生态环境监测网络</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全县</w:t>
            </w:r>
          </w:p>
        </w:tc>
        <w:tc>
          <w:tcPr>
            <w:tcW w:w="714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升级完善大气复合污染立体监测网络，推进重点水域、交接断面、重点湖库及入湖支流的自动监测系统建设，完善土壤环境监测网络。</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陕西（洋县）两山学院</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华阳镇红石窑村</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kern w:val="0"/>
                <w:szCs w:val="21"/>
              </w:rPr>
              <w:t>依托洋县红二十五军司令部华阳旧址，在华阳镇红石窑村规划建设陕西（洋县）两山学院，面向全省培养“两山”创新型复合人才。</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9</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洋县国家野外科学观测研究站</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初步选址在华阳镇</w:t>
            </w:r>
          </w:p>
        </w:tc>
        <w:tc>
          <w:tcPr>
            <w:tcW w:w="7140"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对接中国科学院、中国林业科学研究院等国家级科研机构，争取在洋县设立国家野外科学观测研究站、生态定位站。</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10</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szCs w:val="21"/>
              </w:rPr>
              <w:t>洋县污水处理厂二期</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县城</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重点开展县城污水管网修复工程</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11</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szCs w:val="21"/>
              </w:rPr>
              <w:t>沿江7镇污水处理设施建设</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szCs w:val="21"/>
              </w:rPr>
              <w:t>沿江7镇</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实施沿江城镇污水处理设施主支管网建设工程</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7"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12</w:t>
            </w:r>
          </w:p>
        </w:tc>
        <w:tc>
          <w:tcPr>
            <w:tcW w:w="2423"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szCs w:val="21"/>
              </w:rPr>
              <w:t>新能源扩容</w:t>
            </w:r>
          </w:p>
        </w:tc>
        <w:tc>
          <w:tcPr>
            <w:tcW w:w="2405" w:type="dxa"/>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谢村镇</w:t>
            </w:r>
          </w:p>
        </w:tc>
        <w:tc>
          <w:tcPr>
            <w:tcW w:w="7140" w:type="dxa"/>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在现有垃圾发电厂等基础上，发展光伏发电等，扩大新能源供给能力</w:t>
            </w:r>
          </w:p>
        </w:tc>
        <w:tc>
          <w:tcPr>
            <w:tcW w:w="94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提升</w:t>
            </w:r>
          </w:p>
        </w:tc>
      </w:tr>
    </w:tbl>
    <w:p>
      <w:pPr>
        <w:sectPr>
          <w:headerReference r:id="rId56" w:type="default"/>
          <w:footerReference r:id="rId57" w:type="default"/>
          <w:pgSz w:w="16838" w:h="11906" w:orient="landscape"/>
          <w:pgMar w:top="1531" w:right="2041" w:bottom="1417" w:left="1928" w:header="851" w:footer="397" w:gutter="0"/>
          <w:pgNumType w:fmt="numberInDash"/>
          <w:cols w:space="0" w:num="1"/>
          <w:docGrid w:type="lines" w:linePitch="319" w:charSpace="0"/>
        </w:sectPr>
      </w:pPr>
    </w:p>
    <w:p>
      <w:pPr>
        <w:rPr>
          <w:rFonts w:hint="default"/>
          <w:lang w:val="en-US" w:eastAsia="zh-CN"/>
        </w:rPr>
      </w:pPr>
      <w:bookmarkStart w:id="253" w:name="_GoBack"/>
      <w:bookmarkEnd w:id="253"/>
    </w:p>
    <w:sectPr>
      <w:headerReference r:id="rId58" w:type="default"/>
      <w:footerReference r:id="rId59" w:type="default"/>
      <w:footerReference r:id="rId60" w:type="even"/>
      <w:pgSz w:w="16838" w:h="11906" w:orient="landscape"/>
      <w:pgMar w:top="1531" w:right="2041" w:bottom="1417" w:left="1928" w:header="851" w:footer="397" w:gutter="0"/>
      <w:pgNumType w:fmt="numberInDash" w:start="12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68932-4786-4F67-9C32-ADAA2DE368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2" w:fontKey="{5313F8D4-68CD-45F8-9B80-62D28256E412}"/>
  </w:font>
  <w:font w:name="仿宋">
    <w:panose1 w:val="02010609060101010101"/>
    <w:charset w:val="86"/>
    <w:family w:val="modern"/>
    <w:pitch w:val="default"/>
    <w:sig w:usb0="800002BF" w:usb1="38CF7CFA" w:usb2="00000016" w:usb3="00000000" w:csb0="00040001" w:csb1="00000000"/>
    <w:embedRegular r:id="rId3" w:fontKey="{6BF37F09-6C52-4062-BCBF-A958E768944C}"/>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82B58A4A-C9F3-47FA-BD79-2D78777701A9}"/>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5" w:fontKey="{168D7899-D2E1-47F7-BB38-A69C347D0302}"/>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57" o:spid="_x0000_s3157" o:spt="202" type="#_x0000_t202" style="position:absolute;left:0pt;margin-top:0pt;height:42.95pt;width:57.8pt;mso-position-horizontal:outside;mso-position-horizontal-relative:margin;z-index:251665408;mso-width-relative:page;mso-height-relative:page;" filled="f" stroked="f" coordsize="21600,21600">
          <v:path/>
          <v:fill on="f" focussize="0,0"/>
          <v:stroke on="f" weight="0.5pt"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67" o:spid="_x0000_s3167" o:spt="202" type="#_x0000_t202" style="position:absolute;left:0pt;margin-left:369.35pt;margin-top:-37.45pt;height:64.45pt;width:78.55pt;mso-position-horizontal-relative:margin;z-index:251670528;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86" o:spid="_x0000_s3186" o:spt="202" type="#_x0000_t202" style="position:absolute;left:0pt;margin-left:373.05pt;margin-top:-42.75pt;height:69.75pt;width:74.85pt;mso-position-horizontal-relative:margin;z-index:251671552;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2" o:spid="_x0000_s3192" o:spt="202" type="#_x0000_t202" style="position:absolute;left:0pt;margin-left:290.7pt;margin-top:-18.8pt;height:26.8pt;width:62pt;mso-position-horizontal-relative:margin;z-index:251672576;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w:r>
  </w:p>
  <w:p>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13" o:spid="_x0000_s3213" o:spt="202" type="#_x0000_t202" style="position:absolute;left:0pt;margin-left:295.3pt;margin-top:-34.9pt;height:291.35pt;width:47.6pt;mso-position-horizontal-relative:margin;z-index:251686912;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3" o:spid="_x0000_s3193" o:spt="202" type="#_x0000_t202" style="position:absolute;left:0pt;margin-left:305.4pt;margin-top:-29.2pt;height:36.3pt;width:49.1pt;mso-position-horizontal-relative:margin;z-index:251673600;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v:textbox>
        </v:shape>
      </w:pict>
    </w:r>
  </w:p>
  <w:p>
    <w:pPr>
      <w:pStyle w:val="1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217" o:spid="_x0000_s3217" o:spt="202" type="#_x0000_t202" style="position:absolute;left:0pt;margin-left:374.05pt;margin-top:-42.7pt;height:58.15pt;width:73.85pt;mso-position-horizontal-relative:margin;z-index:251689984;mso-width-relative:page;mso-height-relative:page;" filled="f" stroked="f" coordsize="21600,21600">
          <v:path/>
          <v:fill on="f" focussize="0,0"/>
          <v:stroke on="f" joinstyle="miter"/>
          <v:imagedata o:title=""/>
          <o:lock v:ext="edit"/>
          <v:textbox inset="0mm,0mm,0mm,0mm">
            <w:txbxContent>
              <w:p>
                <w:pPr>
                  <w:pStyle w:val="12"/>
                </w:pPr>
                <w:r>
                  <w:fldChar w:fldCharType="begin"/>
                </w:r>
                <w:r>
                  <w:instrText xml:space="preserve"> PAGE  \* MERGEFORMAT </w:instrText>
                </w:r>
                <w:r>
                  <w:fldChar w:fldCharType="separate"/>
                </w:r>
                <w:r>
                  <w:t>- 1 -</w:t>
                </w:r>
                <w:r>
                  <w:fldChar w:fldCharType="end"/>
                </w:r>
              </w:p>
            </w:txbxContent>
          </v:textbox>
        </v:shape>
      </w:pict>
    </w:r>
  </w:p>
  <w:p>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18" o:spid="_x0000_s3218" o:spt="202" type="#_x0000_t202" style="position:absolute;left:0pt;margin-left:14.2pt;margin-top:-59.95pt;height:75.4pt;width:43.9pt;mso-position-horizontal-relative:margin;z-index:251691008;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215" o:spid="_x0000_s3215" o:spt="202" type="#_x0000_t202" style="position:absolute;left:0pt;margin-left:382.75pt;margin-top:-44.25pt;height:154.4pt;width:65.15pt;mso-position-horizontal-relative:margin;z-index:251687936;mso-width-relative:page;mso-height-relative:page;" filled="f" stroked="f" coordsize="21600,21600">
          <v:path/>
          <v:fill on="f" focussize="0,0"/>
          <v:stroke on="f" weight="0.5pt"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16" o:spid="_x0000_s3216" o:spt="202" type="#_x0000_t202" style="position:absolute;left:0pt;margin-left:23.2pt;margin-top:-60pt;height:301.9pt;width:49.9pt;mso-position-horizontal-relative:margin;z-index:251688960;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204" o:spid="_x0000_s3204" o:spt="202" type="#_x0000_t202" style="position:absolute;left:0pt;margin-left:377.45pt;margin-top:-44.95pt;height:154.4pt;width:70.45pt;mso-position-horizontal-relative:margin;z-index:251678720;mso-width-relative:page;mso-height-relative:page;" filled="f" stroked="f" coordsize="21600,21600">
          <v:path/>
          <v:fill on="f" focussize="0,0"/>
          <v:stroke on="f" weight="0.5pt"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06" o:spid="_x0000_s3206" o:spt="202" type="#_x0000_t202" style="position:absolute;left:0pt;margin-top:0pt;height:218.6pt;width:68.55pt;mso-position-horizontal:outside;mso-position-horizontal-relative:margin;z-index:251680768;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05" o:spid="_x0000_s3205" o:spt="202" type="#_x0000_t202" style="position:absolute;left:0pt;margin-left:21.75pt;margin-top:-60pt;height:130.95pt;width:61pt;mso-position-horizontal-relative:margin;z-index:251679744;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- 96 -</w:t>
                </w:r>
                <w:r>
                  <w:rPr>
                    <w:rFonts w:hint="eastAsia" w:ascii="宋体" w:hAnsi="宋体" w:eastAsia="宋体" w:cs="宋体"/>
                    <w:sz w:val="28"/>
                    <w:szCs w:val="28"/>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91" o:spid="_x0000_s3091" o:spt="202" type="#_x0000_t202" style="position:absolute;left:0pt;flip:x;margin-left:310.2pt;margin-top:-34.8pt;height:62.6pt;width:26.05pt;mso-position-horizontal-relative:margin;rotation:-5898240f;z-index:251660288;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- 101 -</w:t>
                </w:r>
                <w:r>
                  <w:rPr>
                    <w:rFonts w:hint="eastAsia" w:ascii="宋体" w:hAnsi="宋体" w:eastAsia="宋体" w:cs="宋体"/>
                    <w:sz w:val="28"/>
                    <w:szCs w:val="28"/>
                  </w:rPr>
                  <w:fldChar w:fldCharType="end"/>
                </w:r>
              </w:p>
            </w:txbxContent>
          </v:textbox>
        </v:shape>
      </w:pict>
    </w:r>
  </w:p>
  <w:p>
    <w:pPr>
      <w:pStyle w:val="12"/>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07" o:spid="_x0000_s3207" o:spt="202" type="#_x0000_t202" style="position:absolute;left:0pt;margin-left:297.2pt;margin-top:-30.75pt;height:82.85pt;width:49pt;mso-position-horizontal-relative:margin;z-index:251681792;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- 120 -</w:t>
                </w:r>
                <w:r>
                  <w:rPr>
                    <w:rFonts w:hint="eastAsia" w:ascii="宋体" w:hAnsi="宋体" w:eastAsia="宋体" w:cs="宋体"/>
                    <w:sz w:val="28"/>
                    <w:szCs w:val="28"/>
                  </w:rP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4" o:spid="_x0000_s3194"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- 81 -</w:t>
                </w:r>
                <w:r>
                  <w:fldChar w:fldCharType="end"/>
                </w:r>
              </w:p>
            </w:txbxContent>
          </v:textbox>
        </v:shape>
      </w:pict>
    </w:r>
  </w:p>
  <w:p>
    <w:pPr>
      <w:pStyle w:val="1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98" o:spid="_x0000_s3098" o:spt="202" type="#_x0000_t202" style="position:absolute;left:0pt;margin-top:0pt;height:144pt;width:144pt;mso-position-horizontal:center;mso-position-horizontal-relative:margin;mso-wrap-style:none;rotation:5898240f;z-index:251661312;mso-width-relative:page;mso-height-relative:page;" filled="f" stroked="f" coordsize="21600,21600">
          <v:path/>
          <v:fill on="f" focussize="0,0"/>
          <v:stroke on="f" joinstyle="miter"/>
          <v:imagedata o:title=""/>
          <o:lock v:ext="edit"/>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- 103 -</w:t>
                </w:r>
                <w:r>
                  <w:rPr>
                    <w:rFonts w:hint="eastAsia" w:ascii="宋体" w:hAnsi="宋体" w:eastAsia="宋体" w:cs="宋体"/>
                    <w:sz w:val="28"/>
                    <w:szCs w:val="28"/>
                  </w:rPr>
                  <w:fldChar w:fldCharType="end"/>
                </w:r>
              </w:p>
            </w:txbxContent>
          </v:textbox>
        </v:shape>
      </w:pict>
    </w:r>
  </w:p>
  <w:p>
    <w:pPr>
      <w:pStyle w:val="12"/>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5" o:spid="_x0000_s3195"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- 83 -</w:t>
                </w:r>
                <w:r>
                  <w:fldChar w:fldCharType="end"/>
                </w:r>
              </w:p>
            </w:txbxContent>
          </v:textbox>
        </v:shape>
      </w:pict>
    </w:r>
  </w:p>
  <w:p>
    <w:pPr>
      <w:pStyle w:val="12"/>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02" o:spid="_x0000_s3102" o:spt="202" type="#_x0000_t202" style="position:absolute;left:0pt;margin-top:0pt;height:144pt;width:144pt;mso-position-horizontal:center;mso-position-horizontal-relative:margin;mso-wrap-style:none;rotation:5898240f;z-index:251662336;mso-width-relative:page;mso-height-relative:page;" filled="f" stroked="f" coordsize="21600,21600">
          <v:path/>
          <v:fill on="f" focussize="0,0"/>
          <v:stroke on="f" joinstyle="miter"/>
          <v:imagedata o:title=""/>
          <o:lock v:ext="edit"/>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- 105 -</w:t>
                </w:r>
                <w:r>
                  <w:rPr>
                    <w:rFonts w:hint="eastAsia" w:ascii="宋体" w:hAnsi="宋体" w:eastAsia="宋体" w:cs="宋体"/>
                    <w:sz w:val="28"/>
                    <w:szCs w:val="28"/>
                  </w:rPr>
                  <w:fldChar w:fldCharType="end"/>
                </w:r>
              </w:p>
            </w:txbxContent>
          </v:textbox>
        </v:shape>
      </w:pict>
    </w:r>
  </w:p>
  <w:p>
    <w:pPr>
      <w:pStyle w:val="12"/>
      <w:tabs>
        <w:tab w:val="clear" w:pos="4153"/>
      </w:tabs>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6" o:spid="_x0000_s3196"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- 85 -</w:t>
                </w:r>
                <w:r>
                  <w:fldChar w:fldCharType="end"/>
                </w:r>
              </w:p>
            </w:txbxContent>
          </v:textbox>
        </v:shape>
      </w:pict>
    </w:r>
  </w:p>
  <w:p>
    <w:pPr>
      <w:pStyle w:val="12"/>
      <w:tabs>
        <w:tab w:val="clear" w:pos="4153"/>
      </w:tabs>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19" o:spid="_x0000_s3119" o:spt="202" type="#_x0000_t202" style="position:absolute;left:0pt;margin-top:0pt;height:144pt;width:144pt;mso-position-horizontal:center;mso-position-horizontal-relative:margin;mso-wrap-style:none;rotation:5898240f;z-index:251663360;mso-width-relative:page;mso-height-relative:page;" filled="f" stroked="f" coordsize="21600,21600">
          <v:path/>
          <v:fill on="f" focussize="0,0"/>
          <v:stroke on="f" joinstyle="miter"/>
          <v:imagedata o:title=""/>
          <o:lock v:ext="edit"/>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- 107 -</w:t>
                </w:r>
                <w:r>
                  <w:rPr>
                    <w:rFonts w:hint="eastAsia" w:ascii="宋体" w:hAnsi="宋体" w:eastAsia="宋体" w:cs="宋体"/>
                    <w:sz w:val="28"/>
                    <w:szCs w:val="28"/>
                  </w:rPr>
                  <w:fldChar w:fldCharType="end"/>
                </w:r>
              </w:p>
            </w:txbxContent>
          </v:textbox>
        </v:shape>
      </w:pict>
    </w:r>
  </w:p>
  <w:p>
    <w:pPr>
      <w:pStyle w:val="12"/>
      <w:tabs>
        <w:tab w:val="clear" w:pos="4153"/>
      </w:tabs>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97" o:spid="_x0000_s3197"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- 87 -</w:t>
                </w:r>
                <w:r>
                  <w:fldChar w:fldCharType="end"/>
                </w:r>
              </w:p>
            </w:txbxContent>
          </v:textbox>
        </v:shape>
      </w:pict>
    </w:r>
  </w:p>
  <w:p>
    <w:pPr>
      <w:pStyle w:val="1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211" o:spid="_x0000_s3211" o:spt="202" type="#_x0000_t202" style="position:absolute;left:0pt;margin-top:0pt;height:144pt;width:144pt;mso-position-horizontal:outside;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w:r>
  </w:p>
  <w:p>
    <w:pPr>
      <w:pStyle w:val="1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23" o:spid="_x0000_s3123" o:spt="202" type="#_x0000_t202" style="position:absolute;left:0pt;margin-top:0pt;height:144pt;width:144pt;mso-position-horizontal:center;mso-position-horizontal-relative:margin;mso-wrap-style:none;rotation:5898240f;z-index:251664384;mso-width-relative:page;mso-height-relative:page;" filled="f" stroked="f" coordsize="21600,21600">
          <v:path/>
          <v:fill on="f" focussize="0,0"/>
          <v:stroke on="f" joinstyle="miter"/>
          <v:imagedata o:title=""/>
          <o:lock v:ext="edit"/>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- 109 -</w:t>
                </w:r>
                <w:r>
                  <w:rPr>
                    <w:rFonts w:hint="eastAsia" w:ascii="宋体" w:hAnsi="宋体" w:eastAsia="宋体" w:cs="宋体"/>
                    <w:sz w:val="28"/>
                    <w:szCs w:val="28"/>
                  </w:rPr>
                  <w:fldChar w:fldCharType="end"/>
                </w:r>
              </w:p>
            </w:txbxContent>
          </v:textbox>
        </v:shape>
      </w:pict>
    </w:r>
  </w:p>
  <w:p>
    <w:pPr>
      <w:pStyle w:val="12"/>
      <w:tabs>
        <w:tab w:val="clear" w:pos="4153"/>
      </w:tabs>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73" o:spid="_x0000_s3073" o:spt="202" type="#_x0000_t202" style="position:absolute;left:0pt;margin-left:388.65pt;margin-top:-44.95pt;height:154.35pt;width:59.2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- 121 -</w:t>
                </w:r>
                <w:r>
                  <w:rPr>
                    <w:rFonts w:hint="eastAsia" w:ascii="宋体" w:hAnsi="宋体" w:eastAsia="宋体" w:cs="宋体"/>
                    <w:sz w:val="28"/>
                    <w:szCs w:val="28"/>
                  </w:rPr>
                  <w:fldChar w:fldCharType="end"/>
                </w:r>
              </w:p>
            </w:txbxContent>
          </v:textbox>
        </v:shape>
      </w:pict>
    </w:r>
  </w:p>
  <w:p>
    <w:pPr>
      <w:pStyle w:val="12"/>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08" o:spid="_x0000_s3208" o:spt="202" type="#_x0000_t202" style="position:absolute;left:0pt;margin-left:18.75pt;margin-top:-59.25pt;height:172pt;width:70.8pt;mso-position-horizontal-relative:margin;z-index:251682816;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- 122 -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12" o:spid="_x0000_s3212" o:spt="202" type="#_x0000_t202" style="position:absolute;left:0pt;margin-left:15.05pt;margin-top:-57.7pt;height:73.15pt;width:55.75pt;mso-position-horizontal-relative:margin;z-index:251685888;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58" o:spid="_x0000_s3158" o:spt="202" type="#_x0000_t202" style="position:absolute;left:0pt;margin-left:388.8pt;margin-top:-44.95pt;height:71.95pt;width:59.1pt;mso-position-horizontal-relative:margin;z-index:251667456;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210" o:spid="_x0000_s3210" o:spt="202" type="#_x0000_t202" style="position:absolute;left:0pt;margin-left:20.95pt;margin-top:-55.5pt;height:274.1pt;width:47.6pt;mso-position-horizontal-relative:margin;z-index:251683840;mso-width-relative:page;mso-height-relative:page;" filled="f" stroked="f" coordsize="21600,21600">
          <v:path/>
          <v:fill on="f" focussize="0,0"/>
          <v:stroke on="f" joinstyle="miter"/>
          <v:imagedata o:title=""/>
          <o:lock v:ext="edit"/>
          <v:textbox inset="0mm,0mm,0mm,0mm">
            <w:txbxContent>
              <w:p>
                <w:pPr>
                  <w:pStyle w:val="1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60" o:spid="_x0000_s3160" o:spt="202" type="#_x0000_t202" style="position:absolute;left:0pt;margin-top:0pt;height:31.5pt;width:45.6pt;mso-position-horizontal:outside;mso-position-horizontal-relative:margin;z-index:251666432;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64" o:spid="_x0000_s3164" o:spt="202" type="#_x0000_t202" style="position:absolute;left:0pt;margin-left:388.8pt;margin-top:-38.95pt;height:65.95pt;width:59.1pt;mso-position-horizontal-relative:margin;z-index:251668480;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166" o:spid="_x0000_s3166" o:spt="202" type="#_x0000_t202" style="position:absolute;left:0pt;margin-top:0pt;height:27pt;width:59.1pt;mso-position-horizontal:outside;mso-position-horizontal-relative:margin;z-index:251669504;mso-width-relative:page;mso-height-relative:page;" filled="f" stroked="f" coordsize="21600,21600">
          <v:path/>
          <v:fill on="f" focussize="0,0"/>
          <v:stroke on="f" weight="0.5pt" joinstyle="miter"/>
          <v:imagedata o:title=""/>
          <o:lock v:ext="edit"/>
          <v:textbox inset="0mm,0mm,0mm,0mm">
            <w:txbxContent>
              <w:p>
                <w:pPr>
                  <w:pStyle w:val="1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rPr>
                  <w:t xml:space="preserve">       </w:t>
                </w:r>
              </w:p>
            </w:txbxContent>
          </v:textbox>
        </v:shape>
      </w:pic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pPr>
      <w:r>
        <w:rPr>
          <w:rStyle w:val="26"/>
        </w:rPr>
        <w:footnoteRef/>
      </w:r>
      <w:r>
        <w:t xml:space="preserve"> </w:t>
      </w:r>
      <w:r>
        <w:rPr>
          <w:rFonts w:hint="eastAsia" w:ascii="仿宋" w:hAnsi="仿宋" w:eastAsia="仿宋"/>
        </w:rPr>
        <w:t>根据陕西长青自然保护区管理局周勇、杨柳等研究人员的估算（研究成果发表在2</w:t>
      </w:r>
      <w:r>
        <w:rPr>
          <w:rFonts w:ascii="仿宋" w:hAnsi="仿宋" w:eastAsia="仿宋"/>
        </w:rPr>
        <w:t>018</w:t>
      </w:r>
      <w:r>
        <w:rPr>
          <w:rFonts w:hint="eastAsia" w:ascii="仿宋" w:hAnsi="仿宋" w:eastAsia="仿宋"/>
        </w:rPr>
        <w:t>年《安徽林业科技》），2</w:t>
      </w:r>
      <w:r>
        <w:rPr>
          <w:rFonts w:ascii="仿宋" w:hAnsi="仿宋" w:eastAsia="仿宋"/>
        </w:rPr>
        <w:t>009</w:t>
      </w:r>
      <w:r>
        <w:rPr>
          <w:rFonts w:hint="eastAsia" w:ascii="仿宋" w:hAnsi="仿宋" w:eastAsia="仿宋"/>
        </w:rPr>
        <w:t>年长青自然保护区林地面积2</w:t>
      </w:r>
      <w:r>
        <w:rPr>
          <w:rFonts w:ascii="仿宋" w:hAnsi="仿宋" w:eastAsia="仿宋"/>
        </w:rPr>
        <w:t>9735.5</w:t>
      </w:r>
      <w:r>
        <w:rPr>
          <w:rFonts w:hint="eastAsia" w:ascii="仿宋" w:hAnsi="仿宋" w:eastAsia="仿宋"/>
        </w:rPr>
        <w:t>公顷，固碳量1</w:t>
      </w:r>
      <w:r>
        <w:rPr>
          <w:rFonts w:ascii="仿宋" w:hAnsi="仿宋" w:eastAsia="仿宋"/>
        </w:rPr>
        <w:t>08082</w:t>
      </w:r>
      <w:r>
        <w:rPr>
          <w:rFonts w:hint="eastAsia" w:ascii="仿宋" w:hAnsi="仿宋" w:eastAsia="仿宋"/>
        </w:rPr>
        <w:t>.</w:t>
      </w:r>
      <w:r>
        <w:rPr>
          <w:rFonts w:ascii="仿宋" w:hAnsi="仿宋" w:eastAsia="仿宋"/>
        </w:rPr>
        <w:t>347</w:t>
      </w:r>
      <w:r>
        <w:rPr>
          <w:rFonts w:hint="eastAsia" w:ascii="仿宋" w:hAnsi="仿宋" w:eastAsia="仿宋"/>
        </w:rPr>
        <w:t>吨，释氧量2</w:t>
      </w:r>
      <w:r>
        <w:rPr>
          <w:rFonts w:ascii="仿宋" w:hAnsi="仿宋" w:eastAsia="仿宋"/>
        </w:rPr>
        <w:t>89354.733</w:t>
      </w:r>
      <w:r>
        <w:rPr>
          <w:rFonts w:hint="eastAsia" w:ascii="仿宋" w:hAnsi="仿宋" w:eastAsia="仿宋"/>
        </w:rPr>
        <w:t>吨。洋县林地面积253915.09公顷（2</w:t>
      </w:r>
      <w:r>
        <w:rPr>
          <w:rFonts w:ascii="仿宋" w:hAnsi="仿宋" w:eastAsia="仿宋"/>
        </w:rPr>
        <w:t>022</w:t>
      </w:r>
      <w:r>
        <w:rPr>
          <w:rFonts w:hint="eastAsia" w:ascii="仿宋" w:hAnsi="仿宋" w:eastAsia="仿宋"/>
        </w:rPr>
        <w:t>年洋县第三次全国国土调查主要数据公报），按照长青自然保护区单位面积实现的固碳量和释氧量推算，洋县全县林地固碳量为9</w:t>
      </w:r>
      <w:r>
        <w:rPr>
          <w:rFonts w:ascii="仿宋" w:hAnsi="仿宋" w:eastAsia="仿宋"/>
        </w:rPr>
        <w:t>23020</w:t>
      </w:r>
      <w:r>
        <w:rPr>
          <w:rFonts w:hint="eastAsia" w:ascii="仿宋" w:hAnsi="仿宋" w:eastAsia="仿宋"/>
        </w:rPr>
        <w:t>吨，释氧量为2</w:t>
      </w:r>
      <w:r>
        <w:rPr>
          <w:rFonts w:ascii="仿宋" w:hAnsi="仿宋" w:eastAsia="仿宋"/>
        </w:rPr>
        <w:t>471083</w:t>
      </w:r>
      <w:r>
        <w:rPr>
          <w:rFonts w:hint="eastAsia" w:ascii="仿宋" w:hAnsi="仿宋" w:eastAsia="仿宋"/>
        </w:rPr>
        <w:t>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37EB7"/>
    <w:multiLevelType w:val="multilevel"/>
    <w:tmpl w:val="04F37EB7"/>
    <w:lvl w:ilvl="0" w:tentative="0">
      <w:start w:val="1"/>
      <w:numFmt w:val="decimal"/>
      <w:pStyle w:val="52"/>
      <w:suff w:val="nothing"/>
      <w:lvlText w:val="%1."/>
      <w:lvlJc w:val="left"/>
      <w:pPr>
        <w:ind w:left="987" w:hanging="420"/>
      </w:pPr>
      <w:rPr>
        <w:rFonts w:hint="eastAsia" w:cs="Times New Roman"/>
      </w:rPr>
    </w:lvl>
    <w:lvl w:ilvl="1" w:tentative="0">
      <w:start w:val="1"/>
      <w:numFmt w:val="decimal"/>
      <w:lvlText w:val="%2、"/>
      <w:lvlJc w:val="left"/>
      <w:pPr>
        <w:ind w:left="1707" w:hanging="720"/>
      </w:pPr>
      <w:rPr>
        <w:rFonts w:hint="default"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05"/>
  <w:drawingGridVerticalSpacing w:val="159"/>
  <w:displayVerticalDrawingGridEvery w:val="2"/>
  <w:noPunctuationKerning w:val="1"/>
  <w:characterSpacingControl w:val="doNotCompress"/>
  <w:hdrShapeDefaults>
    <o:shapelayout v:ext="edit">
      <o:idmap v:ext="edit" data="1,3"/>
    </o:shapelayout>
  </w:hdrShapeDefaults>
  <w:footnotePr>
    <w:footnote w:id="2"/>
    <w:footnote w:id="3"/>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TYyMmU1NWM5MThmZmMxNTgxOTYwMzAxMDA5YmNiMjcifQ=="/>
    <w:docVar w:name="KSO_WPS_MARK_KEY" w:val="1f69fe5e-30f4-4779-b0ae-0f7ea47057bf"/>
  </w:docVars>
  <w:rsids>
    <w:rsidRoot w:val="00A912F5"/>
    <w:rsid w:val="000012D5"/>
    <w:rsid w:val="0000147A"/>
    <w:rsid w:val="00001608"/>
    <w:rsid w:val="00001A3D"/>
    <w:rsid w:val="00002A29"/>
    <w:rsid w:val="000051F6"/>
    <w:rsid w:val="00005A4E"/>
    <w:rsid w:val="00006FB9"/>
    <w:rsid w:val="00007CE9"/>
    <w:rsid w:val="00011FC6"/>
    <w:rsid w:val="0001297F"/>
    <w:rsid w:val="00013A9F"/>
    <w:rsid w:val="00013F2E"/>
    <w:rsid w:val="0001610C"/>
    <w:rsid w:val="0002104D"/>
    <w:rsid w:val="00021C98"/>
    <w:rsid w:val="000221C5"/>
    <w:rsid w:val="00023C20"/>
    <w:rsid w:val="0002469A"/>
    <w:rsid w:val="00025349"/>
    <w:rsid w:val="00025DD6"/>
    <w:rsid w:val="000319BA"/>
    <w:rsid w:val="00032567"/>
    <w:rsid w:val="00034499"/>
    <w:rsid w:val="00036B85"/>
    <w:rsid w:val="0003788E"/>
    <w:rsid w:val="000410FE"/>
    <w:rsid w:val="00041842"/>
    <w:rsid w:val="00042802"/>
    <w:rsid w:val="000438BC"/>
    <w:rsid w:val="00044CAE"/>
    <w:rsid w:val="000473A0"/>
    <w:rsid w:val="000514D1"/>
    <w:rsid w:val="00051D26"/>
    <w:rsid w:val="00057F8C"/>
    <w:rsid w:val="000603CF"/>
    <w:rsid w:val="00060AD0"/>
    <w:rsid w:val="00060B7C"/>
    <w:rsid w:val="00060F3A"/>
    <w:rsid w:val="00061D6C"/>
    <w:rsid w:val="00063F87"/>
    <w:rsid w:val="000668CB"/>
    <w:rsid w:val="00067931"/>
    <w:rsid w:val="00067DB8"/>
    <w:rsid w:val="00070125"/>
    <w:rsid w:val="00071E38"/>
    <w:rsid w:val="0007214B"/>
    <w:rsid w:val="00072A59"/>
    <w:rsid w:val="00073170"/>
    <w:rsid w:val="0007537A"/>
    <w:rsid w:val="00075399"/>
    <w:rsid w:val="000773BE"/>
    <w:rsid w:val="00077453"/>
    <w:rsid w:val="00077735"/>
    <w:rsid w:val="000809F5"/>
    <w:rsid w:val="000818DF"/>
    <w:rsid w:val="000824D5"/>
    <w:rsid w:val="00086981"/>
    <w:rsid w:val="00086A19"/>
    <w:rsid w:val="00087425"/>
    <w:rsid w:val="00087A9E"/>
    <w:rsid w:val="00090980"/>
    <w:rsid w:val="000936E6"/>
    <w:rsid w:val="0009561A"/>
    <w:rsid w:val="000979F8"/>
    <w:rsid w:val="000A1966"/>
    <w:rsid w:val="000A2FCD"/>
    <w:rsid w:val="000A3815"/>
    <w:rsid w:val="000A3E10"/>
    <w:rsid w:val="000A522A"/>
    <w:rsid w:val="000A5B8B"/>
    <w:rsid w:val="000B1934"/>
    <w:rsid w:val="000B4724"/>
    <w:rsid w:val="000B59B3"/>
    <w:rsid w:val="000B6227"/>
    <w:rsid w:val="000B641A"/>
    <w:rsid w:val="000B6671"/>
    <w:rsid w:val="000B6CD0"/>
    <w:rsid w:val="000B7776"/>
    <w:rsid w:val="000C437D"/>
    <w:rsid w:val="000C6293"/>
    <w:rsid w:val="000C7D0E"/>
    <w:rsid w:val="000C7E67"/>
    <w:rsid w:val="000D0E45"/>
    <w:rsid w:val="000D19CB"/>
    <w:rsid w:val="000D1D20"/>
    <w:rsid w:val="000D4245"/>
    <w:rsid w:val="000D4E24"/>
    <w:rsid w:val="000E18FC"/>
    <w:rsid w:val="000E38E1"/>
    <w:rsid w:val="000E5DEC"/>
    <w:rsid w:val="000E625D"/>
    <w:rsid w:val="000E690F"/>
    <w:rsid w:val="000E6BA1"/>
    <w:rsid w:val="000F19CE"/>
    <w:rsid w:val="000F3063"/>
    <w:rsid w:val="000F32EF"/>
    <w:rsid w:val="000F4582"/>
    <w:rsid w:val="000F4B38"/>
    <w:rsid w:val="000F6142"/>
    <w:rsid w:val="00100242"/>
    <w:rsid w:val="00101748"/>
    <w:rsid w:val="00101E4A"/>
    <w:rsid w:val="001034B6"/>
    <w:rsid w:val="00104A51"/>
    <w:rsid w:val="00106A44"/>
    <w:rsid w:val="00111833"/>
    <w:rsid w:val="00111CF3"/>
    <w:rsid w:val="001121CD"/>
    <w:rsid w:val="00114A17"/>
    <w:rsid w:val="00117817"/>
    <w:rsid w:val="00121140"/>
    <w:rsid w:val="001211B5"/>
    <w:rsid w:val="00121AB8"/>
    <w:rsid w:val="0012342B"/>
    <w:rsid w:val="00123489"/>
    <w:rsid w:val="00124533"/>
    <w:rsid w:val="0012478C"/>
    <w:rsid w:val="00125B90"/>
    <w:rsid w:val="00125C88"/>
    <w:rsid w:val="00126772"/>
    <w:rsid w:val="001309C5"/>
    <w:rsid w:val="00132D78"/>
    <w:rsid w:val="0013752A"/>
    <w:rsid w:val="001402A8"/>
    <w:rsid w:val="00142F69"/>
    <w:rsid w:val="00143638"/>
    <w:rsid w:val="001438F2"/>
    <w:rsid w:val="00143C50"/>
    <w:rsid w:val="00146743"/>
    <w:rsid w:val="00146FFA"/>
    <w:rsid w:val="00151839"/>
    <w:rsid w:val="001527A7"/>
    <w:rsid w:val="00152898"/>
    <w:rsid w:val="00153723"/>
    <w:rsid w:val="00154034"/>
    <w:rsid w:val="001545C0"/>
    <w:rsid w:val="00155503"/>
    <w:rsid w:val="00156D31"/>
    <w:rsid w:val="0015717B"/>
    <w:rsid w:val="001602F0"/>
    <w:rsid w:val="00163C25"/>
    <w:rsid w:val="001665D4"/>
    <w:rsid w:val="0017004A"/>
    <w:rsid w:val="001717D2"/>
    <w:rsid w:val="00174274"/>
    <w:rsid w:val="001764AB"/>
    <w:rsid w:val="0017683A"/>
    <w:rsid w:val="00180CC6"/>
    <w:rsid w:val="00181C0B"/>
    <w:rsid w:val="001838C7"/>
    <w:rsid w:val="00183D15"/>
    <w:rsid w:val="0018526E"/>
    <w:rsid w:val="001859A8"/>
    <w:rsid w:val="00187914"/>
    <w:rsid w:val="0019012D"/>
    <w:rsid w:val="001910C4"/>
    <w:rsid w:val="00191A99"/>
    <w:rsid w:val="00192715"/>
    <w:rsid w:val="00192B0E"/>
    <w:rsid w:val="00192E0D"/>
    <w:rsid w:val="00193224"/>
    <w:rsid w:val="00193F82"/>
    <w:rsid w:val="00194863"/>
    <w:rsid w:val="001957FA"/>
    <w:rsid w:val="0019628E"/>
    <w:rsid w:val="001A18B3"/>
    <w:rsid w:val="001A332A"/>
    <w:rsid w:val="001A3E6F"/>
    <w:rsid w:val="001A4364"/>
    <w:rsid w:val="001A4E6E"/>
    <w:rsid w:val="001A5BD8"/>
    <w:rsid w:val="001A5C7E"/>
    <w:rsid w:val="001B0215"/>
    <w:rsid w:val="001B087F"/>
    <w:rsid w:val="001B1419"/>
    <w:rsid w:val="001B5171"/>
    <w:rsid w:val="001B55F2"/>
    <w:rsid w:val="001B5E8D"/>
    <w:rsid w:val="001C0B89"/>
    <w:rsid w:val="001C1CF5"/>
    <w:rsid w:val="001C2C94"/>
    <w:rsid w:val="001C539B"/>
    <w:rsid w:val="001D03D4"/>
    <w:rsid w:val="001D0BFA"/>
    <w:rsid w:val="001D2106"/>
    <w:rsid w:val="001D2524"/>
    <w:rsid w:val="001D3F59"/>
    <w:rsid w:val="001D482A"/>
    <w:rsid w:val="001D4945"/>
    <w:rsid w:val="001D4FD4"/>
    <w:rsid w:val="001D6454"/>
    <w:rsid w:val="001D6797"/>
    <w:rsid w:val="001D6FB3"/>
    <w:rsid w:val="001E2378"/>
    <w:rsid w:val="001E31CC"/>
    <w:rsid w:val="001E64D1"/>
    <w:rsid w:val="001E789B"/>
    <w:rsid w:val="001E7E01"/>
    <w:rsid w:val="001E7F15"/>
    <w:rsid w:val="001F02A7"/>
    <w:rsid w:val="001F08A6"/>
    <w:rsid w:val="001F3B04"/>
    <w:rsid w:val="001F45BB"/>
    <w:rsid w:val="001F522A"/>
    <w:rsid w:val="001F6FA9"/>
    <w:rsid w:val="001F767E"/>
    <w:rsid w:val="00200B2D"/>
    <w:rsid w:val="00201789"/>
    <w:rsid w:val="00202CE6"/>
    <w:rsid w:val="00204399"/>
    <w:rsid w:val="00204780"/>
    <w:rsid w:val="002047C1"/>
    <w:rsid w:val="00205EDF"/>
    <w:rsid w:val="002070C2"/>
    <w:rsid w:val="00210326"/>
    <w:rsid w:val="00213362"/>
    <w:rsid w:val="0021377B"/>
    <w:rsid w:val="0021421B"/>
    <w:rsid w:val="00215498"/>
    <w:rsid w:val="0021661C"/>
    <w:rsid w:val="0021671A"/>
    <w:rsid w:val="002167BA"/>
    <w:rsid w:val="00220B48"/>
    <w:rsid w:val="00220DE8"/>
    <w:rsid w:val="00225703"/>
    <w:rsid w:val="00226623"/>
    <w:rsid w:val="00227CA5"/>
    <w:rsid w:val="002326D4"/>
    <w:rsid w:val="00232C5A"/>
    <w:rsid w:val="00237B5F"/>
    <w:rsid w:val="00240D24"/>
    <w:rsid w:val="00240E54"/>
    <w:rsid w:val="00242755"/>
    <w:rsid w:val="002442D0"/>
    <w:rsid w:val="00251369"/>
    <w:rsid w:val="00251F56"/>
    <w:rsid w:val="00252C0E"/>
    <w:rsid w:val="002536E6"/>
    <w:rsid w:val="00255E6B"/>
    <w:rsid w:val="0026014E"/>
    <w:rsid w:val="00262408"/>
    <w:rsid w:val="00265957"/>
    <w:rsid w:val="00267BFF"/>
    <w:rsid w:val="00271620"/>
    <w:rsid w:val="0027292C"/>
    <w:rsid w:val="00272FB9"/>
    <w:rsid w:val="00273D7D"/>
    <w:rsid w:val="00273ECB"/>
    <w:rsid w:val="00275BBD"/>
    <w:rsid w:val="00276844"/>
    <w:rsid w:val="00277547"/>
    <w:rsid w:val="002775D4"/>
    <w:rsid w:val="0028016B"/>
    <w:rsid w:val="00280982"/>
    <w:rsid w:val="00280D72"/>
    <w:rsid w:val="00282F96"/>
    <w:rsid w:val="0028482F"/>
    <w:rsid w:val="00285EA7"/>
    <w:rsid w:val="00286604"/>
    <w:rsid w:val="002902F8"/>
    <w:rsid w:val="00290D71"/>
    <w:rsid w:val="00292107"/>
    <w:rsid w:val="00292C69"/>
    <w:rsid w:val="00292F9E"/>
    <w:rsid w:val="00293BBC"/>
    <w:rsid w:val="00297750"/>
    <w:rsid w:val="002A0898"/>
    <w:rsid w:val="002A0AF4"/>
    <w:rsid w:val="002A133E"/>
    <w:rsid w:val="002A2F13"/>
    <w:rsid w:val="002A3930"/>
    <w:rsid w:val="002A3BDD"/>
    <w:rsid w:val="002A4BE1"/>
    <w:rsid w:val="002A6031"/>
    <w:rsid w:val="002A73AE"/>
    <w:rsid w:val="002B0161"/>
    <w:rsid w:val="002B3877"/>
    <w:rsid w:val="002B5725"/>
    <w:rsid w:val="002C12E4"/>
    <w:rsid w:val="002C1B9E"/>
    <w:rsid w:val="002C23CD"/>
    <w:rsid w:val="002C32A6"/>
    <w:rsid w:val="002C78E5"/>
    <w:rsid w:val="002D0891"/>
    <w:rsid w:val="002D40B8"/>
    <w:rsid w:val="002D4FF3"/>
    <w:rsid w:val="002D5667"/>
    <w:rsid w:val="002D5966"/>
    <w:rsid w:val="002D6C28"/>
    <w:rsid w:val="002D75EA"/>
    <w:rsid w:val="002D7EE2"/>
    <w:rsid w:val="002E0982"/>
    <w:rsid w:val="002E166A"/>
    <w:rsid w:val="002E1CF2"/>
    <w:rsid w:val="002E2212"/>
    <w:rsid w:val="002E5907"/>
    <w:rsid w:val="002E6D1F"/>
    <w:rsid w:val="002F0ABB"/>
    <w:rsid w:val="002F1CAF"/>
    <w:rsid w:val="002F1D4F"/>
    <w:rsid w:val="002F425D"/>
    <w:rsid w:val="002F50DE"/>
    <w:rsid w:val="002F592C"/>
    <w:rsid w:val="002F5FBD"/>
    <w:rsid w:val="002F67FD"/>
    <w:rsid w:val="0030042F"/>
    <w:rsid w:val="003005FB"/>
    <w:rsid w:val="00300E42"/>
    <w:rsid w:val="003027EF"/>
    <w:rsid w:val="0030562E"/>
    <w:rsid w:val="00305C19"/>
    <w:rsid w:val="00305F0E"/>
    <w:rsid w:val="003062D2"/>
    <w:rsid w:val="003069E5"/>
    <w:rsid w:val="00307C66"/>
    <w:rsid w:val="00317188"/>
    <w:rsid w:val="00321A3D"/>
    <w:rsid w:val="003243A0"/>
    <w:rsid w:val="003248C8"/>
    <w:rsid w:val="003248D1"/>
    <w:rsid w:val="00324BFA"/>
    <w:rsid w:val="0032658C"/>
    <w:rsid w:val="00326647"/>
    <w:rsid w:val="00326CAB"/>
    <w:rsid w:val="00332735"/>
    <w:rsid w:val="003331BD"/>
    <w:rsid w:val="00336DD6"/>
    <w:rsid w:val="003405DF"/>
    <w:rsid w:val="00341477"/>
    <w:rsid w:val="00343596"/>
    <w:rsid w:val="00344D68"/>
    <w:rsid w:val="003452C5"/>
    <w:rsid w:val="0034540C"/>
    <w:rsid w:val="00345976"/>
    <w:rsid w:val="00345DC3"/>
    <w:rsid w:val="00346038"/>
    <w:rsid w:val="003470A0"/>
    <w:rsid w:val="00347A3A"/>
    <w:rsid w:val="00350FCF"/>
    <w:rsid w:val="0035662F"/>
    <w:rsid w:val="003614EA"/>
    <w:rsid w:val="003625F2"/>
    <w:rsid w:val="00364519"/>
    <w:rsid w:val="0036565E"/>
    <w:rsid w:val="00370C6B"/>
    <w:rsid w:val="0037142F"/>
    <w:rsid w:val="00372639"/>
    <w:rsid w:val="00372C11"/>
    <w:rsid w:val="003771BC"/>
    <w:rsid w:val="00377845"/>
    <w:rsid w:val="003815DB"/>
    <w:rsid w:val="00383D6A"/>
    <w:rsid w:val="00383D7C"/>
    <w:rsid w:val="00385AB0"/>
    <w:rsid w:val="0039037D"/>
    <w:rsid w:val="00390A82"/>
    <w:rsid w:val="00393A6E"/>
    <w:rsid w:val="003941C4"/>
    <w:rsid w:val="00394A22"/>
    <w:rsid w:val="003A02DA"/>
    <w:rsid w:val="003A4DCD"/>
    <w:rsid w:val="003A5B70"/>
    <w:rsid w:val="003B3483"/>
    <w:rsid w:val="003B3CD0"/>
    <w:rsid w:val="003B3FE1"/>
    <w:rsid w:val="003B4BD7"/>
    <w:rsid w:val="003B53FA"/>
    <w:rsid w:val="003B5505"/>
    <w:rsid w:val="003B5C9A"/>
    <w:rsid w:val="003C49C8"/>
    <w:rsid w:val="003C551F"/>
    <w:rsid w:val="003C5916"/>
    <w:rsid w:val="003C677B"/>
    <w:rsid w:val="003C6F97"/>
    <w:rsid w:val="003D03F8"/>
    <w:rsid w:val="003D2E2A"/>
    <w:rsid w:val="003D3CE2"/>
    <w:rsid w:val="003D508A"/>
    <w:rsid w:val="003D6089"/>
    <w:rsid w:val="003D68F4"/>
    <w:rsid w:val="003E210F"/>
    <w:rsid w:val="003E2C8D"/>
    <w:rsid w:val="003E30AC"/>
    <w:rsid w:val="003E3E86"/>
    <w:rsid w:val="003E4A83"/>
    <w:rsid w:val="003E5483"/>
    <w:rsid w:val="003E5A6F"/>
    <w:rsid w:val="003E79ED"/>
    <w:rsid w:val="003F09BD"/>
    <w:rsid w:val="003F0F6C"/>
    <w:rsid w:val="003F112A"/>
    <w:rsid w:val="003F1756"/>
    <w:rsid w:val="003F1BB6"/>
    <w:rsid w:val="003F47C8"/>
    <w:rsid w:val="003F50C7"/>
    <w:rsid w:val="004011C4"/>
    <w:rsid w:val="00402B88"/>
    <w:rsid w:val="00402E55"/>
    <w:rsid w:val="00405E48"/>
    <w:rsid w:val="00406236"/>
    <w:rsid w:val="00406C0F"/>
    <w:rsid w:val="00410040"/>
    <w:rsid w:val="004108DF"/>
    <w:rsid w:val="00413EF7"/>
    <w:rsid w:val="00417A88"/>
    <w:rsid w:val="00417EC8"/>
    <w:rsid w:val="004207C8"/>
    <w:rsid w:val="00422091"/>
    <w:rsid w:val="004273C7"/>
    <w:rsid w:val="00427A64"/>
    <w:rsid w:val="00430DF4"/>
    <w:rsid w:val="0043185B"/>
    <w:rsid w:val="004318A4"/>
    <w:rsid w:val="00433B22"/>
    <w:rsid w:val="0043428B"/>
    <w:rsid w:val="00435744"/>
    <w:rsid w:val="00440372"/>
    <w:rsid w:val="0044070F"/>
    <w:rsid w:val="0044128C"/>
    <w:rsid w:val="00444E9C"/>
    <w:rsid w:val="00446F75"/>
    <w:rsid w:val="00451CAD"/>
    <w:rsid w:val="00452A31"/>
    <w:rsid w:val="00452C48"/>
    <w:rsid w:val="00454886"/>
    <w:rsid w:val="00456C1F"/>
    <w:rsid w:val="0046016C"/>
    <w:rsid w:val="004636F5"/>
    <w:rsid w:val="00463C2A"/>
    <w:rsid w:val="00463D10"/>
    <w:rsid w:val="00463E15"/>
    <w:rsid w:val="00464969"/>
    <w:rsid w:val="00464DB6"/>
    <w:rsid w:val="00465621"/>
    <w:rsid w:val="0047276E"/>
    <w:rsid w:val="00472DB6"/>
    <w:rsid w:val="004748DE"/>
    <w:rsid w:val="00477FAA"/>
    <w:rsid w:val="004807A2"/>
    <w:rsid w:val="004824E6"/>
    <w:rsid w:val="004828CE"/>
    <w:rsid w:val="00484D20"/>
    <w:rsid w:val="00485E66"/>
    <w:rsid w:val="00486E73"/>
    <w:rsid w:val="004917F7"/>
    <w:rsid w:val="00491D89"/>
    <w:rsid w:val="00492964"/>
    <w:rsid w:val="0049533A"/>
    <w:rsid w:val="00495409"/>
    <w:rsid w:val="00497190"/>
    <w:rsid w:val="004975B0"/>
    <w:rsid w:val="004A1396"/>
    <w:rsid w:val="004A1C67"/>
    <w:rsid w:val="004A223F"/>
    <w:rsid w:val="004A4562"/>
    <w:rsid w:val="004A6FED"/>
    <w:rsid w:val="004A733C"/>
    <w:rsid w:val="004B286A"/>
    <w:rsid w:val="004B29C4"/>
    <w:rsid w:val="004B4D43"/>
    <w:rsid w:val="004B64E0"/>
    <w:rsid w:val="004B6EA8"/>
    <w:rsid w:val="004B7390"/>
    <w:rsid w:val="004B7B5D"/>
    <w:rsid w:val="004C04F0"/>
    <w:rsid w:val="004C0D4A"/>
    <w:rsid w:val="004C1454"/>
    <w:rsid w:val="004C233D"/>
    <w:rsid w:val="004C29DB"/>
    <w:rsid w:val="004C3DC5"/>
    <w:rsid w:val="004C4B70"/>
    <w:rsid w:val="004C518B"/>
    <w:rsid w:val="004C714E"/>
    <w:rsid w:val="004D18BF"/>
    <w:rsid w:val="004D23C2"/>
    <w:rsid w:val="004D3FC1"/>
    <w:rsid w:val="004D5C07"/>
    <w:rsid w:val="004D5D90"/>
    <w:rsid w:val="004D6EBD"/>
    <w:rsid w:val="004E1A93"/>
    <w:rsid w:val="004E29AB"/>
    <w:rsid w:val="004E2E19"/>
    <w:rsid w:val="004E3654"/>
    <w:rsid w:val="004E4699"/>
    <w:rsid w:val="004E5F7C"/>
    <w:rsid w:val="004F00F2"/>
    <w:rsid w:val="004F0263"/>
    <w:rsid w:val="004F0945"/>
    <w:rsid w:val="004F0A69"/>
    <w:rsid w:val="004F1625"/>
    <w:rsid w:val="004F41CE"/>
    <w:rsid w:val="004F4329"/>
    <w:rsid w:val="004F613B"/>
    <w:rsid w:val="0050012C"/>
    <w:rsid w:val="00500C82"/>
    <w:rsid w:val="005018E3"/>
    <w:rsid w:val="00502EC1"/>
    <w:rsid w:val="00503510"/>
    <w:rsid w:val="0050598D"/>
    <w:rsid w:val="0051072A"/>
    <w:rsid w:val="00511A47"/>
    <w:rsid w:val="005120EC"/>
    <w:rsid w:val="005159E1"/>
    <w:rsid w:val="00515AA8"/>
    <w:rsid w:val="005166D6"/>
    <w:rsid w:val="00521B8D"/>
    <w:rsid w:val="00523E0E"/>
    <w:rsid w:val="00524285"/>
    <w:rsid w:val="00524776"/>
    <w:rsid w:val="00525536"/>
    <w:rsid w:val="005261D6"/>
    <w:rsid w:val="00526248"/>
    <w:rsid w:val="00526362"/>
    <w:rsid w:val="005306EF"/>
    <w:rsid w:val="0053084D"/>
    <w:rsid w:val="0053162F"/>
    <w:rsid w:val="0053235F"/>
    <w:rsid w:val="00532E89"/>
    <w:rsid w:val="00534CFC"/>
    <w:rsid w:val="005360CF"/>
    <w:rsid w:val="00540F22"/>
    <w:rsid w:val="00541BCB"/>
    <w:rsid w:val="00543613"/>
    <w:rsid w:val="005441B5"/>
    <w:rsid w:val="005452FB"/>
    <w:rsid w:val="00545FF8"/>
    <w:rsid w:val="00546113"/>
    <w:rsid w:val="00546230"/>
    <w:rsid w:val="00546BA4"/>
    <w:rsid w:val="00547246"/>
    <w:rsid w:val="00547F29"/>
    <w:rsid w:val="005514D3"/>
    <w:rsid w:val="005518AA"/>
    <w:rsid w:val="005527E8"/>
    <w:rsid w:val="00553C94"/>
    <w:rsid w:val="005544D0"/>
    <w:rsid w:val="00560661"/>
    <w:rsid w:val="00561056"/>
    <w:rsid w:val="00561922"/>
    <w:rsid w:val="005628BD"/>
    <w:rsid w:val="00565BFF"/>
    <w:rsid w:val="00572A28"/>
    <w:rsid w:val="005736C8"/>
    <w:rsid w:val="00573A3D"/>
    <w:rsid w:val="005808C6"/>
    <w:rsid w:val="00584500"/>
    <w:rsid w:val="00586B06"/>
    <w:rsid w:val="00586EA5"/>
    <w:rsid w:val="0059074D"/>
    <w:rsid w:val="00591DAE"/>
    <w:rsid w:val="005928B2"/>
    <w:rsid w:val="00593496"/>
    <w:rsid w:val="0059516A"/>
    <w:rsid w:val="0059553F"/>
    <w:rsid w:val="00596610"/>
    <w:rsid w:val="005A0993"/>
    <w:rsid w:val="005A4D8F"/>
    <w:rsid w:val="005A77DF"/>
    <w:rsid w:val="005A7A7B"/>
    <w:rsid w:val="005B118D"/>
    <w:rsid w:val="005B2732"/>
    <w:rsid w:val="005B2C0D"/>
    <w:rsid w:val="005B388D"/>
    <w:rsid w:val="005B39E5"/>
    <w:rsid w:val="005B682D"/>
    <w:rsid w:val="005B6872"/>
    <w:rsid w:val="005B7C06"/>
    <w:rsid w:val="005C23D1"/>
    <w:rsid w:val="005C3B34"/>
    <w:rsid w:val="005C49EA"/>
    <w:rsid w:val="005C57D2"/>
    <w:rsid w:val="005C6663"/>
    <w:rsid w:val="005C7DA7"/>
    <w:rsid w:val="005D0D5C"/>
    <w:rsid w:val="005D2028"/>
    <w:rsid w:val="005D451C"/>
    <w:rsid w:val="005D566F"/>
    <w:rsid w:val="005D63EE"/>
    <w:rsid w:val="005D6782"/>
    <w:rsid w:val="005D71D8"/>
    <w:rsid w:val="005E26B3"/>
    <w:rsid w:val="005E33C6"/>
    <w:rsid w:val="005E3522"/>
    <w:rsid w:val="005E401B"/>
    <w:rsid w:val="005E4B34"/>
    <w:rsid w:val="005E6CBF"/>
    <w:rsid w:val="005F035E"/>
    <w:rsid w:val="005F0383"/>
    <w:rsid w:val="005F19AC"/>
    <w:rsid w:val="005F27E3"/>
    <w:rsid w:val="005F2D79"/>
    <w:rsid w:val="005F3DCF"/>
    <w:rsid w:val="005F6F8F"/>
    <w:rsid w:val="006000BF"/>
    <w:rsid w:val="00600F2C"/>
    <w:rsid w:val="006011FF"/>
    <w:rsid w:val="00601B03"/>
    <w:rsid w:val="0060282D"/>
    <w:rsid w:val="00603BA4"/>
    <w:rsid w:val="00606358"/>
    <w:rsid w:val="00610AE1"/>
    <w:rsid w:val="00610E84"/>
    <w:rsid w:val="00611A72"/>
    <w:rsid w:val="00611DDB"/>
    <w:rsid w:val="006139D6"/>
    <w:rsid w:val="00613E52"/>
    <w:rsid w:val="00614DD0"/>
    <w:rsid w:val="00615CD3"/>
    <w:rsid w:val="006169CF"/>
    <w:rsid w:val="00617AF1"/>
    <w:rsid w:val="00621832"/>
    <w:rsid w:val="00622402"/>
    <w:rsid w:val="0062270D"/>
    <w:rsid w:val="00630FBD"/>
    <w:rsid w:val="0063177B"/>
    <w:rsid w:val="006369A7"/>
    <w:rsid w:val="00637389"/>
    <w:rsid w:val="006373DD"/>
    <w:rsid w:val="00640348"/>
    <w:rsid w:val="00640F2E"/>
    <w:rsid w:val="006427E5"/>
    <w:rsid w:val="006431B7"/>
    <w:rsid w:val="006454A9"/>
    <w:rsid w:val="00646EF5"/>
    <w:rsid w:val="00647D62"/>
    <w:rsid w:val="00647DE4"/>
    <w:rsid w:val="00652DA6"/>
    <w:rsid w:val="00655304"/>
    <w:rsid w:val="006556C4"/>
    <w:rsid w:val="006577EE"/>
    <w:rsid w:val="006605AD"/>
    <w:rsid w:val="00660D80"/>
    <w:rsid w:val="006626A9"/>
    <w:rsid w:val="00662F4D"/>
    <w:rsid w:val="00664992"/>
    <w:rsid w:val="006706DE"/>
    <w:rsid w:val="0067305F"/>
    <w:rsid w:val="00673ABA"/>
    <w:rsid w:val="00674D5E"/>
    <w:rsid w:val="00675600"/>
    <w:rsid w:val="00683C8C"/>
    <w:rsid w:val="006847CD"/>
    <w:rsid w:val="0068570C"/>
    <w:rsid w:val="00686243"/>
    <w:rsid w:val="006879B7"/>
    <w:rsid w:val="006904FC"/>
    <w:rsid w:val="0069104D"/>
    <w:rsid w:val="0069179F"/>
    <w:rsid w:val="0069362D"/>
    <w:rsid w:val="0069368F"/>
    <w:rsid w:val="006964D0"/>
    <w:rsid w:val="00696A09"/>
    <w:rsid w:val="006978C2"/>
    <w:rsid w:val="006A0756"/>
    <w:rsid w:val="006A0CE7"/>
    <w:rsid w:val="006A0FF6"/>
    <w:rsid w:val="006A13BC"/>
    <w:rsid w:val="006B00C1"/>
    <w:rsid w:val="006B0AC4"/>
    <w:rsid w:val="006B0E83"/>
    <w:rsid w:val="006B19AA"/>
    <w:rsid w:val="006B3300"/>
    <w:rsid w:val="006B4083"/>
    <w:rsid w:val="006B45F2"/>
    <w:rsid w:val="006B634C"/>
    <w:rsid w:val="006B6AFE"/>
    <w:rsid w:val="006C1704"/>
    <w:rsid w:val="006C1D05"/>
    <w:rsid w:val="006C4532"/>
    <w:rsid w:val="006C6186"/>
    <w:rsid w:val="006C62B6"/>
    <w:rsid w:val="006C66FC"/>
    <w:rsid w:val="006C6EC7"/>
    <w:rsid w:val="006D06D8"/>
    <w:rsid w:val="006D162A"/>
    <w:rsid w:val="006D2929"/>
    <w:rsid w:val="006D2DD1"/>
    <w:rsid w:val="006D487A"/>
    <w:rsid w:val="006D56F6"/>
    <w:rsid w:val="006D72B2"/>
    <w:rsid w:val="006E08F1"/>
    <w:rsid w:val="006E434A"/>
    <w:rsid w:val="006E7FD9"/>
    <w:rsid w:val="006F0AD3"/>
    <w:rsid w:val="006F2C9C"/>
    <w:rsid w:val="006F2D4F"/>
    <w:rsid w:val="006F52C4"/>
    <w:rsid w:val="006F5502"/>
    <w:rsid w:val="006F6A8E"/>
    <w:rsid w:val="006F6DC4"/>
    <w:rsid w:val="00700692"/>
    <w:rsid w:val="00701F54"/>
    <w:rsid w:val="0070234F"/>
    <w:rsid w:val="007048E8"/>
    <w:rsid w:val="00704AB1"/>
    <w:rsid w:val="00711492"/>
    <w:rsid w:val="007122D4"/>
    <w:rsid w:val="00712BFD"/>
    <w:rsid w:val="00713CF9"/>
    <w:rsid w:val="007150A9"/>
    <w:rsid w:val="007150D2"/>
    <w:rsid w:val="0071545C"/>
    <w:rsid w:val="00715999"/>
    <w:rsid w:val="0071692B"/>
    <w:rsid w:val="0071693B"/>
    <w:rsid w:val="007220F9"/>
    <w:rsid w:val="0072253F"/>
    <w:rsid w:val="007232BB"/>
    <w:rsid w:val="00723F0C"/>
    <w:rsid w:val="00724449"/>
    <w:rsid w:val="00725741"/>
    <w:rsid w:val="00725CA5"/>
    <w:rsid w:val="00725FC3"/>
    <w:rsid w:val="00727C7F"/>
    <w:rsid w:val="007318B1"/>
    <w:rsid w:val="007329ED"/>
    <w:rsid w:val="00732F01"/>
    <w:rsid w:val="0073313C"/>
    <w:rsid w:val="00734D0E"/>
    <w:rsid w:val="0073636E"/>
    <w:rsid w:val="007400E3"/>
    <w:rsid w:val="007403F6"/>
    <w:rsid w:val="00743093"/>
    <w:rsid w:val="0075031D"/>
    <w:rsid w:val="007519B4"/>
    <w:rsid w:val="00751C3B"/>
    <w:rsid w:val="00752990"/>
    <w:rsid w:val="00753AF7"/>
    <w:rsid w:val="00753F3E"/>
    <w:rsid w:val="00757B5B"/>
    <w:rsid w:val="00760A97"/>
    <w:rsid w:val="00760E77"/>
    <w:rsid w:val="00761786"/>
    <w:rsid w:val="00764A70"/>
    <w:rsid w:val="00764D1F"/>
    <w:rsid w:val="0077056F"/>
    <w:rsid w:val="00770D57"/>
    <w:rsid w:val="00771295"/>
    <w:rsid w:val="00771B24"/>
    <w:rsid w:val="00772CDD"/>
    <w:rsid w:val="00772ED0"/>
    <w:rsid w:val="0077439A"/>
    <w:rsid w:val="007749D4"/>
    <w:rsid w:val="00775D61"/>
    <w:rsid w:val="0077640B"/>
    <w:rsid w:val="00777319"/>
    <w:rsid w:val="00780838"/>
    <w:rsid w:val="00782215"/>
    <w:rsid w:val="007826C3"/>
    <w:rsid w:val="00782F21"/>
    <w:rsid w:val="00783ACB"/>
    <w:rsid w:val="007847C3"/>
    <w:rsid w:val="00785852"/>
    <w:rsid w:val="00786FA7"/>
    <w:rsid w:val="00787134"/>
    <w:rsid w:val="0078777B"/>
    <w:rsid w:val="00787DC1"/>
    <w:rsid w:val="00790CC9"/>
    <w:rsid w:val="007915EB"/>
    <w:rsid w:val="00791824"/>
    <w:rsid w:val="00791908"/>
    <w:rsid w:val="0079191B"/>
    <w:rsid w:val="00793592"/>
    <w:rsid w:val="00793838"/>
    <w:rsid w:val="00793BFD"/>
    <w:rsid w:val="00795720"/>
    <w:rsid w:val="007967B5"/>
    <w:rsid w:val="00796C73"/>
    <w:rsid w:val="007A11B6"/>
    <w:rsid w:val="007A36D2"/>
    <w:rsid w:val="007A4185"/>
    <w:rsid w:val="007A4243"/>
    <w:rsid w:val="007A5268"/>
    <w:rsid w:val="007A6940"/>
    <w:rsid w:val="007A69B2"/>
    <w:rsid w:val="007B06E4"/>
    <w:rsid w:val="007B1484"/>
    <w:rsid w:val="007B1A21"/>
    <w:rsid w:val="007B3B5A"/>
    <w:rsid w:val="007B3D70"/>
    <w:rsid w:val="007B4BE6"/>
    <w:rsid w:val="007B6FC8"/>
    <w:rsid w:val="007B7A5E"/>
    <w:rsid w:val="007C0D59"/>
    <w:rsid w:val="007C3478"/>
    <w:rsid w:val="007C40EA"/>
    <w:rsid w:val="007D03D1"/>
    <w:rsid w:val="007D1A17"/>
    <w:rsid w:val="007D4CAD"/>
    <w:rsid w:val="007D51CD"/>
    <w:rsid w:val="007D71F8"/>
    <w:rsid w:val="007D7E73"/>
    <w:rsid w:val="007E05DE"/>
    <w:rsid w:val="007E51E9"/>
    <w:rsid w:val="007E664F"/>
    <w:rsid w:val="007F0540"/>
    <w:rsid w:val="007F22C8"/>
    <w:rsid w:val="007F65F2"/>
    <w:rsid w:val="007F76C8"/>
    <w:rsid w:val="00801607"/>
    <w:rsid w:val="0080398D"/>
    <w:rsid w:val="008100D6"/>
    <w:rsid w:val="0081074B"/>
    <w:rsid w:val="00810E03"/>
    <w:rsid w:val="008115B8"/>
    <w:rsid w:val="00811ED2"/>
    <w:rsid w:val="008128D8"/>
    <w:rsid w:val="008140C6"/>
    <w:rsid w:val="008146C4"/>
    <w:rsid w:val="00815C12"/>
    <w:rsid w:val="00817146"/>
    <w:rsid w:val="008201BA"/>
    <w:rsid w:val="00820756"/>
    <w:rsid w:val="008209B8"/>
    <w:rsid w:val="00820C2C"/>
    <w:rsid w:val="0082157D"/>
    <w:rsid w:val="00821FE5"/>
    <w:rsid w:val="008222A5"/>
    <w:rsid w:val="008240EB"/>
    <w:rsid w:val="0082466C"/>
    <w:rsid w:val="00830532"/>
    <w:rsid w:val="00831879"/>
    <w:rsid w:val="00831895"/>
    <w:rsid w:val="00835106"/>
    <w:rsid w:val="00835B56"/>
    <w:rsid w:val="00836607"/>
    <w:rsid w:val="00836E3E"/>
    <w:rsid w:val="0084017C"/>
    <w:rsid w:val="00840770"/>
    <w:rsid w:val="00840BE4"/>
    <w:rsid w:val="00841D85"/>
    <w:rsid w:val="00842E74"/>
    <w:rsid w:val="008448CC"/>
    <w:rsid w:val="00846DFC"/>
    <w:rsid w:val="00853D60"/>
    <w:rsid w:val="00854AA6"/>
    <w:rsid w:val="00855EE1"/>
    <w:rsid w:val="008560D6"/>
    <w:rsid w:val="0085722B"/>
    <w:rsid w:val="008603AD"/>
    <w:rsid w:val="008607CB"/>
    <w:rsid w:val="00860909"/>
    <w:rsid w:val="00862F73"/>
    <w:rsid w:val="0086644C"/>
    <w:rsid w:val="008676C4"/>
    <w:rsid w:val="008676DD"/>
    <w:rsid w:val="00867E50"/>
    <w:rsid w:val="0087011C"/>
    <w:rsid w:val="00875298"/>
    <w:rsid w:val="00875F41"/>
    <w:rsid w:val="0087712C"/>
    <w:rsid w:val="008828DB"/>
    <w:rsid w:val="00884B4E"/>
    <w:rsid w:val="0088764F"/>
    <w:rsid w:val="008908A3"/>
    <w:rsid w:val="008930C1"/>
    <w:rsid w:val="00895161"/>
    <w:rsid w:val="00896069"/>
    <w:rsid w:val="008976D7"/>
    <w:rsid w:val="00897C33"/>
    <w:rsid w:val="00897DD0"/>
    <w:rsid w:val="008A02D9"/>
    <w:rsid w:val="008A092F"/>
    <w:rsid w:val="008A211C"/>
    <w:rsid w:val="008A43E4"/>
    <w:rsid w:val="008A4691"/>
    <w:rsid w:val="008A4743"/>
    <w:rsid w:val="008A590A"/>
    <w:rsid w:val="008A763C"/>
    <w:rsid w:val="008B0C1A"/>
    <w:rsid w:val="008B13A7"/>
    <w:rsid w:val="008B2014"/>
    <w:rsid w:val="008B3516"/>
    <w:rsid w:val="008B5453"/>
    <w:rsid w:val="008B5784"/>
    <w:rsid w:val="008B585E"/>
    <w:rsid w:val="008B63A0"/>
    <w:rsid w:val="008B7183"/>
    <w:rsid w:val="008C1EEB"/>
    <w:rsid w:val="008C214F"/>
    <w:rsid w:val="008C772C"/>
    <w:rsid w:val="008D353A"/>
    <w:rsid w:val="008D7302"/>
    <w:rsid w:val="008E0B07"/>
    <w:rsid w:val="008E1DF5"/>
    <w:rsid w:val="008E6106"/>
    <w:rsid w:val="008E6176"/>
    <w:rsid w:val="008F0EB0"/>
    <w:rsid w:val="008F2483"/>
    <w:rsid w:val="008F2DFC"/>
    <w:rsid w:val="008F6BE2"/>
    <w:rsid w:val="008F7180"/>
    <w:rsid w:val="00900974"/>
    <w:rsid w:val="00902A7D"/>
    <w:rsid w:val="009033B6"/>
    <w:rsid w:val="00903ACF"/>
    <w:rsid w:val="00903B35"/>
    <w:rsid w:val="0090492D"/>
    <w:rsid w:val="00907289"/>
    <w:rsid w:val="00907630"/>
    <w:rsid w:val="00910B84"/>
    <w:rsid w:val="00911974"/>
    <w:rsid w:val="00913917"/>
    <w:rsid w:val="009154C2"/>
    <w:rsid w:val="00916277"/>
    <w:rsid w:val="009175FB"/>
    <w:rsid w:val="00917663"/>
    <w:rsid w:val="00920AAF"/>
    <w:rsid w:val="00925DA9"/>
    <w:rsid w:val="00926C3A"/>
    <w:rsid w:val="00935CE3"/>
    <w:rsid w:val="00936F07"/>
    <w:rsid w:val="00940C68"/>
    <w:rsid w:val="00943DC8"/>
    <w:rsid w:val="00946444"/>
    <w:rsid w:val="00951B0B"/>
    <w:rsid w:val="00953AAF"/>
    <w:rsid w:val="00954D2C"/>
    <w:rsid w:val="00955D94"/>
    <w:rsid w:val="009568AB"/>
    <w:rsid w:val="0095743C"/>
    <w:rsid w:val="00957518"/>
    <w:rsid w:val="0095755F"/>
    <w:rsid w:val="00961D6F"/>
    <w:rsid w:val="00962342"/>
    <w:rsid w:val="009642D7"/>
    <w:rsid w:val="00966363"/>
    <w:rsid w:val="00966853"/>
    <w:rsid w:val="00966FB8"/>
    <w:rsid w:val="00974B01"/>
    <w:rsid w:val="00976BB3"/>
    <w:rsid w:val="00977211"/>
    <w:rsid w:val="00977D3F"/>
    <w:rsid w:val="0098036B"/>
    <w:rsid w:val="009822E4"/>
    <w:rsid w:val="00982344"/>
    <w:rsid w:val="009829FD"/>
    <w:rsid w:val="009855D9"/>
    <w:rsid w:val="00986FC0"/>
    <w:rsid w:val="00987037"/>
    <w:rsid w:val="009916C9"/>
    <w:rsid w:val="00991FD3"/>
    <w:rsid w:val="009927CC"/>
    <w:rsid w:val="00993198"/>
    <w:rsid w:val="009952A5"/>
    <w:rsid w:val="00995EB2"/>
    <w:rsid w:val="009969A9"/>
    <w:rsid w:val="00997265"/>
    <w:rsid w:val="009A087E"/>
    <w:rsid w:val="009A367A"/>
    <w:rsid w:val="009A3CE5"/>
    <w:rsid w:val="009A4452"/>
    <w:rsid w:val="009A5877"/>
    <w:rsid w:val="009B1C48"/>
    <w:rsid w:val="009B5BE4"/>
    <w:rsid w:val="009B6338"/>
    <w:rsid w:val="009B65AE"/>
    <w:rsid w:val="009B6F41"/>
    <w:rsid w:val="009B75F4"/>
    <w:rsid w:val="009C15F6"/>
    <w:rsid w:val="009C4E8B"/>
    <w:rsid w:val="009C53F7"/>
    <w:rsid w:val="009C63D2"/>
    <w:rsid w:val="009C6AB5"/>
    <w:rsid w:val="009C6DBC"/>
    <w:rsid w:val="009C6DC9"/>
    <w:rsid w:val="009C75DF"/>
    <w:rsid w:val="009D4646"/>
    <w:rsid w:val="009D6555"/>
    <w:rsid w:val="009D73F1"/>
    <w:rsid w:val="009D7C18"/>
    <w:rsid w:val="009E2A97"/>
    <w:rsid w:val="009E37EB"/>
    <w:rsid w:val="009F155B"/>
    <w:rsid w:val="009F1906"/>
    <w:rsid w:val="009F198D"/>
    <w:rsid w:val="009F38DF"/>
    <w:rsid w:val="009F3C86"/>
    <w:rsid w:val="009F3D5C"/>
    <w:rsid w:val="009F59BE"/>
    <w:rsid w:val="009F5D48"/>
    <w:rsid w:val="009F6170"/>
    <w:rsid w:val="009F65B7"/>
    <w:rsid w:val="009F7367"/>
    <w:rsid w:val="009F7499"/>
    <w:rsid w:val="00A002E6"/>
    <w:rsid w:val="00A0084A"/>
    <w:rsid w:val="00A02FAD"/>
    <w:rsid w:val="00A03300"/>
    <w:rsid w:val="00A0477E"/>
    <w:rsid w:val="00A04C5A"/>
    <w:rsid w:val="00A04F3D"/>
    <w:rsid w:val="00A1034F"/>
    <w:rsid w:val="00A1330A"/>
    <w:rsid w:val="00A14DFA"/>
    <w:rsid w:val="00A21E6E"/>
    <w:rsid w:val="00A228F0"/>
    <w:rsid w:val="00A23AE3"/>
    <w:rsid w:val="00A24795"/>
    <w:rsid w:val="00A26A76"/>
    <w:rsid w:val="00A270EA"/>
    <w:rsid w:val="00A27B08"/>
    <w:rsid w:val="00A27C3B"/>
    <w:rsid w:val="00A27F10"/>
    <w:rsid w:val="00A301C7"/>
    <w:rsid w:val="00A32A39"/>
    <w:rsid w:val="00A33A50"/>
    <w:rsid w:val="00A344DD"/>
    <w:rsid w:val="00A34677"/>
    <w:rsid w:val="00A34B7C"/>
    <w:rsid w:val="00A353D7"/>
    <w:rsid w:val="00A357C8"/>
    <w:rsid w:val="00A35A16"/>
    <w:rsid w:val="00A40956"/>
    <w:rsid w:val="00A4224F"/>
    <w:rsid w:val="00A4372A"/>
    <w:rsid w:val="00A43B54"/>
    <w:rsid w:val="00A4627D"/>
    <w:rsid w:val="00A47E70"/>
    <w:rsid w:val="00A50187"/>
    <w:rsid w:val="00A529FB"/>
    <w:rsid w:val="00A53002"/>
    <w:rsid w:val="00A53617"/>
    <w:rsid w:val="00A5461D"/>
    <w:rsid w:val="00A548B6"/>
    <w:rsid w:val="00A56C3E"/>
    <w:rsid w:val="00A57364"/>
    <w:rsid w:val="00A60100"/>
    <w:rsid w:val="00A60974"/>
    <w:rsid w:val="00A613A9"/>
    <w:rsid w:val="00A617D5"/>
    <w:rsid w:val="00A63817"/>
    <w:rsid w:val="00A64859"/>
    <w:rsid w:val="00A65817"/>
    <w:rsid w:val="00A66448"/>
    <w:rsid w:val="00A70671"/>
    <w:rsid w:val="00A7133C"/>
    <w:rsid w:val="00A72DC7"/>
    <w:rsid w:val="00A72EAD"/>
    <w:rsid w:val="00A737BD"/>
    <w:rsid w:val="00A73F5C"/>
    <w:rsid w:val="00A76947"/>
    <w:rsid w:val="00A76AFA"/>
    <w:rsid w:val="00A77187"/>
    <w:rsid w:val="00A77808"/>
    <w:rsid w:val="00A821A6"/>
    <w:rsid w:val="00A83FD6"/>
    <w:rsid w:val="00A843D1"/>
    <w:rsid w:val="00A849CE"/>
    <w:rsid w:val="00A90BFC"/>
    <w:rsid w:val="00A912F5"/>
    <w:rsid w:val="00A91DAE"/>
    <w:rsid w:val="00A928A5"/>
    <w:rsid w:val="00A957F0"/>
    <w:rsid w:val="00A95826"/>
    <w:rsid w:val="00A95B64"/>
    <w:rsid w:val="00A95C27"/>
    <w:rsid w:val="00AA09EC"/>
    <w:rsid w:val="00AA1A2B"/>
    <w:rsid w:val="00AA1BE9"/>
    <w:rsid w:val="00AA3FFC"/>
    <w:rsid w:val="00AA46C6"/>
    <w:rsid w:val="00AA57B4"/>
    <w:rsid w:val="00AA64BD"/>
    <w:rsid w:val="00AA71F9"/>
    <w:rsid w:val="00AB0135"/>
    <w:rsid w:val="00AB06DA"/>
    <w:rsid w:val="00AC649D"/>
    <w:rsid w:val="00AC6623"/>
    <w:rsid w:val="00AD0D1A"/>
    <w:rsid w:val="00AD5DE7"/>
    <w:rsid w:val="00AE0B48"/>
    <w:rsid w:val="00AE1A59"/>
    <w:rsid w:val="00AE2CD0"/>
    <w:rsid w:val="00AE2E43"/>
    <w:rsid w:val="00AE4F0C"/>
    <w:rsid w:val="00AE4FC0"/>
    <w:rsid w:val="00AE55B0"/>
    <w:rsid w:val="00AF29FE"/>
    <w:rsid w:val="00AF307B"/>
    <w:rsid w:val="00AF5508"/>
    <w:rsid w:val="00AF7273"/>
    <w:rsid w:val="00B01118"/>
    <w:rsid w:val="00B02ABA"/>
    <w:rsid w:val="00B030B0"/>
    <w:rsid w:val="00B044CD"/>
    <w:rsid w:val="00B045BC"/>
    <w:rsid w:val="00B070C0"/>
    <w:rsid w:val="00B0798B"/>
    <w:rsid w:val="00B07F94"/>
    <w:rsid w:val="00B10D5E"/>
    <w:rsid w:val="00B1167E"/>
    <w:rsid w:val="00B11E32"/>
    <w:rsid w:val="00B1272F"/>
    <w:rsid w:val="00B13575"/>
    <w:rsid w:val="00B176D2"/>
    <w:rsid w:val="00B2120D"/>
    <w:rsid w:val="00B23D71"/>
    <w:rsid w:val="00B2420E"/>
    <w:rsid w:val="00B24C64"/>
    <w:rsid w:val="00B27FBC"/>
    <w:rsid w:val="00B3094F"/>
    <w:rsid w:val="00B321CB"/>
    <w:rsid w:val="00B34459"/>
    <w:rsid w:val="00B34881"/>
    <w:rsid w:val="00B367A7"/>
    <w:rsid w:val="00B40AE6"/>
    <w:rsid w:val="00B43430"/>
    <w:rsid w:val="00B444D2"/>
    <w:rsid w:val="00B44812"/>
    <w:rsid w:val="00B46BDF"/>
    <w:rsid w:val="00B47E9D"/>
    <w:rsid w:val="00B516CA"/>
    <w:rsid w:val="00B525A7"/>
    <w:rsid w:val="00B546EF"/>
    <w:rsid w:val="00B555D2"/>
    <w:rsid w:val="00B56B6F"/>
    <w:rsid w:val="00B615BE"/>
    <w:rsid w:val="00B61FDE"/>
    <w:rsid w:val="00B62BDC"/>
    <w:rsid w:val="00B63727"/>
    <w:rsid w:val="00B64A60"/>
    <w:rsid w:val="00B64FA1"/>
    <w:rsid w:val="00B65216"/>
    <w:rsid w:val="00B660F5"/>
    <w:rsid w:val="00B67317"/>
    <w:rsid w:val="00B6774F"/>
    <w:rsid w:val="00B70F28"/>
    <w:rsid w:val="00B71156"/>
    <w:rsid w:val="00B718F3"/>
    <w:rsid w:val="00B72657"/>
    <w:rsid w:val="00B74B70"/>
    <w:rsid w:val="00B75E1C"/>
    <w:rsid w:val="00B75E87"/>
    <w:rsid w:val="00B800CC"/>
    <w:rsid w:val="00B80B70"/>
    <w:rsid w:val="00B80F26"/>
    <w:rsid w:val="00B83421"/>
    <w:rsid w:val="00B85E62"/>
    <w:rsid w:val="00B873FB"/>
    <w:rsid w:val="00B87423"/>
    <w:rsid w:val="00B90FD8"/>
    <w:rsid w:val="00B91AA5"/>
    <w:rsid w:val="00B93740"/>
    <w:rsid w:val="00B948CF"/>
    <w:rsid w:val="00B9558D"/>
    <w:rsid w:val="00B97D65"/>
    <w:rsid w:val="00BA0460"/>
    <w:rsid w:val="00BA2386"/>
    <w:rsid w:val="00BA339F"/>
    <w:rsid w:val="00BA356B"/>
    <w:rsid w:val="00BA4898"/>
    <w:rsid w:val="00BA52BA"/>
    <w:rsid w:val="00BA7976"/>
    <w:rsid w:val="00BB10FF"/>
    <w:rsid w:val="00BB359D"/>
    <w:rsid w:val="00BC4E2F"/>
    <w:rsid w:val="00BC5171"/>
    <w:rsid w:val="00BC668D"/>
    <w:rsid w:val="00BD03DA"/>
    <w:rsid w:val="00BD1A1A"/>
    <w:rsid w:val="00BD4AD7"/>
    <w:rsid w:val="00BD4F4E"/>
    <w:rsid w:val="00BD527F"/>
    <w:rsid w:val="00BD6B2B"/>
    <w:rsid w:val="00BD79EC"/>
    <w:rsid w:val="00BE0309"/>
    <w:rsid w:val="00BE211D"/>
    <w:rsid w:val="00BE2439"/>
    <w:rsid w:val="00BE2489"/>
    <w:rsid w:val="00BE2DAF"/>
    <w:rsid w:val="00BE6E30"/>
    <w:rsid w:val="00BE7806"/>
    <w:rsid w:val="00BF1790"/>
    <w:rsid w:val="00BF193E"/>
    <w:rsid w:val="00BF1F7C"/>
    <w:rsid w:val="00BF2D0B"/>
    <w:rsid w:val="00BF4041"/>
    <w:rsid w:val="00BF4574"/>
    <w:rsid w:val="00BF6CFD"/>
    <w:rsid w:val="00C006F7"/>
    <w:rsid w:val="00C02BA4"/>
    <w:rsid w:val="00C0449C"/>
    <w:rsid w:val="00C11A1D"/>
    <w:rsid w:val="00C1398F"/>
    <w:rsid w:val="00C1510C"/>
    <w:rsid w:val="00C17637"/>
    <w:rsid w:val="00C17EDA"/>
    <w:rsid w:val="00C2104F"/>
    <w:rsid w:val="00C2177A"/>
    <w:rsid w:val="00C23044"/>
    <w:rsid w:val="00C237F9"/>
    <w:rsid w:val="00C238EB"/>
    <w:rsid w:val="00C254DF"/>
    <w:rsid w:val="00C2600A"/>
    <w:rsid w:val="00C26549"/>
    <w:rsid w:val="00C33B5D"/>
    <w:rsid w:val="00C33D10"/>
    <w:rsid w:val="00C33D4C"/>
    <w:rsid w:val="00C34346"/>
    <w:rsid w:val="00C348C0"/>
    <w:rsid w:val="00C366C5"/>
    <w:rsid w:val="00C36B3D"/>
    <w:rsid w:val="00C40937"/>
    <w:rsid w:val="00C41439"/>
    <w:rsid w:val="00C43D38"/>
    <w:rsid w:val="00C4651E"/>
    <w:rsid w:val="00C52B2A"/>
    <w:rsid w:val="00C52B59"/>
    <w:rsid w:val="00C531FC"/>
    <w:rsid w:val="00C532F8"/>
    <w:rsid w:val="00C5590A"/>
    <w:rsid w:val="00C5672A"/>
    <w:rsid w:val="00C569D6"/>
    <w:rsid w:val="00C57120"/>
    <w:rsid w:val="00C575FC"/>
    <w:rsid w:val="00C616B8"/>
    <w:rsid w:val="00C61871"/>
    <w:rsid w:val="00C628FB"/>
    <w:rsid w:val="00C63071"/>
    <w:rsid w:val="00C644EF"/>
    <w:rsid w:val="00C65657"/>
    <w:rsid w:val="00C66C09"/>
    <w:rsid w:val="00C716CF"/>
    <w:rsid w:val="00C72005"/>
    <w:rsid w:val="00C72985"/>
    <w:rsid w:val="00C73722"/>
    <w:rsid w:val="00C76083"/>
    <w:rsid w:val="00C771C8"/>
    <w:rsid w:val="00C81429"/>
    <w:rsid w:val="00C824CD"/>
    <w:rsid w:val="00C82552"/>
    <w:rsid w:val="00C82980"/>
    <w:rsid w:val="00C82D0F"/>
    <w:rsid w:val="00C83471"/>
    <w:rsid w:val="00C8552B"/>
    <w:rsid w:val="00C92898"/>
    <w:rsid w:val="00C93202"/>
    <w:rsid w:val="00C93B85"/>
    <w:rsid w:val="00C941B4"/>
    <w:rsid w:val="00C94838"/>
    <w:rsid w:val="00C95B04"/>
    <w:rsid w:val="00C96453"/>
    <w:rsid w:val="00CA2B59"/>
    <w:rsid w:val="00CA45F3"/>
    <w:rsid w:val="00CA6698"/>
    <w:rsid w:val="00CA717F"/>
    <w:rsid w:val="00CA7749"/>
    <w:rsid w:val="00CB14A1"/>
    <w:rsid w:val="00CB1D19"/>
    <w:rsid w:val="00CB2B35"/>
    <w:rsid w:val="00CB438A"/>
    <w:rsid w:val="00CB73C5"/>
    <w:rsid w:val="00CC188A"/>
    <w:rsid w:val="00CC20D6"/>
    <w:rsid w:val="00CC2A2D"/>
    <w:rsid w:val="00CC2CE7"/>
    <w:rsid w:val="00CC387B"/>
    <w:rsid w:val="00CC4E31"/>
    <w:rsid w:val="00CC5324"/>
    <w:rsid w:val="00CC569E"/>
    <w:rsid w:val="00CC58E1"/>
    <w:rsid w:val="00CC7916"/>
    <w:rsid w:val="00CD1DA8"/>
    <w:rsid w:val="00CD26F9"/>
    <w:rsid w:val="00CD284C"/>
    <w:rsid w:val="00CE0287"/>
    <w:rsid w:val="00CE134E"/>
    <w:rsid w:val="00CE1C0F"/>
    <w:rsid w:val="00CE1C8B"/>
    <w:rsid w:val="00CE24A2"/>
    <w:rsid w:val="00CE26A8"/>
    <w:rsid w:val="00CE4B77"/>
    <w:rsid w:val="00CE4DAB"/>
    <w:rsid w:val="00CE57CF"/>
    <w:rsid w:val="00CE5E2A"/>
    <w:rsid w:val="00CE6CF6"/>
    <w:rsid w:val="00CF25E3"/>
    <w:rsid w:val="00CF2F17"/>
    <w:rsid w:val="00D024DC"/>
    <w:rsid w:val="00D034E5"/>
    <w:rsid w:val="00D04744"/>
    <w:rsid w:val="00D04B66"/>
    <w:rsid w:val="00D04E6F"/>
    <w:rsid w:val="00D069EC"/>
    <w:rsid w:val="00D0737A"/>
    <w:rsid w:val="00D10E40"/>
    <w:rsid w:val="00D117F3"/>
    <w:rsid w:val="00D11DE2"/>
    <w:rsid w:val="00D12072"/>
    <w:rsid w:val="00D12DF6"/>
    <w:rsid w:val="00D131B0"/>
    <w:rsid w:val="00D1624D"/>
    <w:rsid w:val="00D16515"/>
    <w:rsid w:val="00D20769"/>
    <w:rsid w:val="00D2089D"/>
    <w:rsid w:val="00D27E3F"/>
    <w:rsid w:val="00D33A63"/>
    <w:rsid w:val="00D35307"/>
    <w:rsid w:val="00D3723C"/>
    <w:rsid w:val="00D373C1"/>
    <w:rsid w:val="00D40E07"/>
    <w:rsid w:val="00D4135B"/>
    <w:rsid w:val="00D42424"/>
    <w:rsid w:val="00D429CE"/>
    <w:rsid w:val="00D42E45"/>
    <w:rsid w:val="00D44C9A"/>
    <w:rsid w:val="00D45710"/>
    <w:rsid w:val="00D45A08"/>
    <w:rsid w:val="00D46EA1"/>
    <w:rsid w:val="00D4742C"/>
    <w:rsid w:val="00D47A17"/>
    <w:rsid w:val="00D50C13"/>
    <w:rsid w:val="00D520B7"/>
    <w:rsid w:val="00D54E0D"/>
    <w:rsid w:val="00D62F90"/>
    <w:rsid w:val="00D63A9B"/>
    <w:rsid w:val="00D6400B"/>
    <w:rsid w:val="00D64F31"/>
    <w:rsid w:val="00D65EB0"/>
    <w:rsid w:val="00D67BEC"/>
    <w:rsid w:val="00D70AAC"/>
    <w:rsid w:val="00D74E31"/>
    <w:rsid w:val="00D7609B"/>
    <w:rsid w:val="00D80A70"/>
    <w:rsid w:val="00D87110"/>
    <w:rsid w:val="00D877A8"/>
    <w:rsid w:val="00D87954"/>
    <w:rsid w:val="00D91FDA"/>
    <w:rsid w:val="00D94902"/>
    <w:rsid w:val="00D96F4E"/>
    <w:rsid w:val="00DA1840"/>
    <w:rsid w:val="00DA3411"/>
    <w:rsid w:val="00DA3D1F"/>
    <w:rsid w:val="00DA5CB6"/>
    <w:rsid w:val="00DB02DB"/>
    <w:rsid w:val="00DB1132"/>
    <w:rsid w:val="00DB1F11"/>
    <w:rsid w:val="00DB51A2"/>
    <w:rsid w:val="00DB70A3"/>
    <w:rsid w:val="00DB71EA"/>
    <w:rsid w:val="00DB7259"/>
    <w:rsid w:val="00DB7784"/>
    <w:rsid w:val="00DC0107"/>
    <w:rsid w:val="00DC0759"/>
    <w:rsid w:val="00DC11A7"/>
    <w:rsid w:val="00DC3541"/>
    <w:rsid w:val="00DC543D"/>
    <w:rsid w:val="00DD062E"/>
    <w:rsid w:val="00DD241B"/>
    <w:rsid w:val="00DD4EC2"/>
    <w:rsid w:val="00DD54A5"/>
    <w:rsid w:val="00DD6002"/>
    <w:rsid w:val="00DD6874"/>
    <w:rsid w:val="00DE141A"/>
    <w:rsid w:val="00DE1BE6"/>
    <w:rsid w:val="00DE24FF"/>
    <w:rsid w:val="00DF033A"/>
    <w:rsid w:val="00DF0A19"/>
    <w:rsid w:val="00E00639"/>
    <w:rsid w:val="00E00813"/>
    <w:rsid w:val="00E0170D"/>
    <w:rsid w:val="00E01865"/>
    <w:rsid w:val="00E01E49"/>
    <w:rsid w:val="00E03EC4"/>
    <w:rsid w:val="00E05962"/>
    <w:rsid w:val="00E06459"/>
    <w:rsid w:val="00E07A60"/>
    <w:rsid w:val="00E07B8E"/>
    <w:rsid w:val="00E07D12"/>
    <w:rsid w:val="00E1090C"/>
    <w:rsid w:val="00E109DD"/>
    <w:rsid w:val="00E121B8"/>
    <w:rsid w:val="00E133B4"/>
    <w:rsid w:val="00E13AED"/>
    <w:rsid w:val="00E17754"/>
    <w:rsid w:val="00E222E4"/>
    <w:rsid w:val="00E2276A"/>
    <w:rsid w:val="00E232E8"/>
    <w:rsid w:val="00E26CB5"/>
    <w:rsid w:val="00E271A0"/>
    <w:rsid w:val="00E27983"/>
    <w:rsid w:val="00E3046F"/>
    <w:rsid w:val="00E312EB"/>
    <w:rsid w:val="00E3165D"/>
    <w:rsid w:val="00E32C6B"/>
    <w:rsid w:val="00E4007E"/>
    <w:rsid w:val="00E426AB"/>
    <w:rsid w:val="00E4675D"/>
    <w:rsid w:val="00E475E5"/>
    <w:rsid w:val="00E53345"/>
    <w:rsid w:val="00E54ACF"/>
    <w:rsid w:val="00E571B3"/>
    <w:rsid w:val="00E57821"/>
    <w:rsid w:val="00E60756"/>
    <w:rsid w:val="00E61527"/>
    <w:rsid w:val="00E615DB"/>
    <w:rsid w:val="00E6163A"/>
    <w:rsid w:val="00E61FC1"/>
    <w:rsid w:val="00E62474"/>
    <w:rsid w:val="00E628B7"/>
    <w:rsid w:val="00E63123"/>
    <w:rsid w:val="00E65714"/>
    <w:rsid w:val="00E65718"/>
    <w:rsid w:val="00E65BE3"/>
    <w:rsid w:val="00E66EF6"/>
    <w:rsid w:val="00E6719B"/>
    <w:rsid w:val="00E74125"/>
    <w:rsid w:val="00E74B6A"/>
    <w:rsid w:val="00E75448"/>
    <w:rsid w:val="00E769BE"/>
    <w:rsid w:val="00E774C8"/>
    <w:rsid w:val="00E83B76"/>
    <w:rsid w:val="00E8559D"/>
    <w:rsid w:val="00E87E1F"/>
    <w:rsid w:val="00E90404"/>
    <w:rsid w:val="00E9126A"/>
    <w:rsid w:val="00E91EDE"/>
    <w:rsid w:val="00E924F2"/>
    <w:rsid w:val="00E9273B"/>
    <w:rsid w:val="00E966DB"/>
    <w:rsid w:val="00E96701"/>
    <w:rsid w:val="00E97305"/>
    <w:rsid w:val="00E97DB8"/>
    <w:rsid w:val="00E97F95"/>
    <w:rsid w:val="00EA1951"/>
    <w:rsid w:val="00EA39AD"/>
    <w:rsid w:val="00EA6158"/>
    <w:rsid w:val="00EA6E67"/>
    <w:rsid w:val="00EA7208"/>
    <w:rsid w:val="00EB112A"/>
    <w:rsid w:val="00EB17EC"/>
    <w:rsid w:val="00EB2C24"/>
    <w:rsid w:val="00EB3BC6"/>
    <w:rsid w:val="00EB42BA"/>
    <w:rsid w:val="00EB5731"/>
    <w:rsid w:val="00EB67F5"/>
    <w:rsid w:val="00EC0C02"/>
    <w:rsid w:val="00EC10E7"/>
    <w:rsid w:val="00EC1C22"/>
    <w:rsid w:val="00EC49E1"/>
    <w:rsid w:val="00EC4E64"/>
    <w:rsid w:val="00EC55A4"/>
    <w:rsid w:val="00EC7115"/>
    <w:rsid w:val="00ED36E2"/>
    <w:rsid w:val="00ED66B6"/>
    <w:rsid w:val="00EE1DEF"/>
    <w:rsid w:val="00EE2384"/>
    <w:rsid w:val="00EE76F8"/>
    <w:rsid w:val="00EF2DC9"/>
    <w:rsid w:val="00EF3222"/>
    <w:rsid w:val="00EF4737"/>
    <w:rsid w:val="00EF4AB5"/>
    <w:rsid w:val="00EF6C0C"/>
    <w:rsid w:val="00EF742B"/>
    <w:rsid w:val="00F01D2B"/>
    <w:rsid w:val="00F057C1"/>
    <w:rsid w:val="00F06206"/>
    <w:rsid w:val="00F11049"/>
    <w:rsid w:val="00F1152E"/>
    <w:rsid w:val="00F14B70"/>
    <w:rsid w:val="00F16201"/>
    <w:rsid w:val="00F210A7"/>
    <w:rsid w:val="00F24A1C"/>
    <w:rsid w:val="00F25114"/>
    <w:rsid w:val="00F2668A"/>
    <w:rsid w:val="00F26E29"/>
    <w:rsid w:val="00F30140"/>
    <w:rsid w:val="00F30B9C"/>
    <w:rsid w:val="00F31A70"/>
    <w:rsid w:val="00F3291A"/>
    <w:rsid w:val="00F34692"/>
    <w:rsid w:val="00F355A9"/>
    <w:rsid w:val="00F35D67"/>
    <w:rsid w:val="00F3644B"/>
    <w:rsid w:val="00F36DF6"/>
    <w:rsid w:val="00F37ACF"/>
    <w:rsid w:val="00F37E82"/>
    <w:rsid w:val="00F4183F"/>
    <w:rsid w:val="00F43CEC"/>
    <w:rsid w:val="00F44C03"/>
    <w:rsid w:val="00F4500E"/>
    <w:rsid w:val="00F477A8"/>
    <w:rsid w:val="00F506F2"/>
    <w:rsid w:val="00F52EC1"/>
    <w:rsid w:val="00F5301E"/>
    <w:rsid w:val="00F5545B"/>
    <w:rsid w:val="00F557C8"/>
    <w:rsid w:val="00F565D3"/>
    <w:rsid w:val="00F56B70"/>
    <w:rsid w:val="00F56E11"/>
    <w:rsid w:val="00F5759C"/>
    <w:rsid w:val="00F6247C"/>
    <w:rsid w:val="00F62ACA"/>
    <w:rsid w:val="00F62C9B"/>
    <w:rsid w:val="00F63F81"/>
    <w:rsid w:val="00F643F6"/>
    <w:rsid w:val="00F65319"/>
    <w:rsid w:val="00F65E6D"/>
    <w:rsid w:val="00F6699D"/>
    <w:rsid w:val="00F67D58"/>
    <w:rsid w:val="00F70D05"/>
    <w:rsid w:val="00F71592"/>
    <w:rsid w:val="00F756FA"/>
    <w:rsid w:val="00F761EE"/>
    <w:rsid w:val="00F80EB1"/>
    <w:rsid w:val="00F82845"/>
    <w:rsid w:val="00F83BC8"/>
    <w:rsid w:val="00F85D8D"/>
    <w:rsid w:val="00F868EC"/>
    <w:rsid w:val="00F90EAC"/>
    <w:rsid w:val="00F91CBD"/>
    <w:rsid w:val="00F94DCE"/>
    <w:rsid w:val="00F96988"/>
    <w:rsid w:val="00F97DBA"/>
    <w:rsid w:val="00FA306A"/>
    <w:rsid w:val="00FA4025"/>
    <w:rsid w:val="00FA604A"/>
    <w:rsid w:val="00FA6974"/>
    <w:rsid w:val="00FA6A38"/>
    <w:rsid w:val="00FA754A"/>
    <w:rsid w:val="00FA7EBA"/>
    <w:rsid w:val="00FB001C"/>
    <w:rsid w:val="00FB12CE"/>
    <w:rsid w:val="00FB24B1"/>
    <w:rsid w:val="00FB38A7"/>
    <w:rsid w:val="00FB4B6C"/>
    <w:rsid w:val="00FB55BD"/>
    <w:rsid w:val="00FB645A"/>
    <w:rsid w:val="00FC3C1B"/>
    <w:rsid w:val="00FC3E4D"/>
    <w:rsid w:val="00FC3EB0"/>
    <w:rsid w:val="00FC49BE"/>
    <w:rsid w:val="00FC5856"/>
    <w:rsid w:val="00FC63AA"/>
    <w:rsid w:val="00FC6653"/>
    <w:rsid w:val="00FD0CB8"/>
    <w:rsid w:val="00FD1E92"/>
    <w:rsid w:val="00FD3B9B"/>
    <w:rsid w:val="00FD4614"/>
    <w:rsid w:val="00FD5C69"/>
    <w:rsid w:val="00FD67A7"/>
    <w:rsid w:val="00FD6A22"/>
    <w:rsid w:val="00FD7A77"/>
    <w:rsid w:val="00FE0625"/>
    <w:rsid w:val="00FE1A48"/>
    <w:rsid w:val="00FE28A0"/>
    <w:rsid w:val="00FE2943"/>
    <w:rsid w:val="00FE3B82"/>
    <w:rsid w:val="00FE3EC6"/>
    <w:rsid w:val="00FE6E71"/>
    <w:rsid w:val="00FF1B14"/>
    <w:rsid w:val="00FF7EC1"/>
    <w:rsid w:val="01B80B7A"/>
    <w:rsid w:val="03A203D3"/>
    <w:rsid w:val="04165F1D"/>
    <w:rsid w:val="04D969C6"/>
    <w:rsid w:val="05D11D1B"/>
    <w:rsid w:val="062C0465"/>
    <w:rsid w:val="0768708F"/>
    <w:rsid w:val="0C264DB0"/>
    <w:rsid w:val="0C5E67B3"/>
    <w:rsid w:val="0C8F3D96"/>
    <w:rsid w:val="0C945ADA"/>
    <w:rsid w:val="0D386EBC"/>
    <w:rsid w:val="0D9F012F"/>
    <w:rsid w:val="11CB205D"/>
    <w:rsid w:val="124C1897"/>
    <w:rsid w:val="1297256E"/>
    <w:rsid w:val="13530D68"/>
    <w:rsid w:val="155344FA"/>
    <w:rsid w:val="15E3035A"/>
    <w:rsid w:val="16581F4E"/>
    <w:rsid w:val="177C00C0"/>
    <w:rsid w:val="182859FC"/>
    <w:rsid w:val="1852326C"/>
    <w:rsid w:val="18625703"/>
    <w:rsid w:val="1AC75042"/>
    <w:rsid w:val="1AD516DC"/>
    <w:rsid w:val="1AF51BB0"/>
    <w:rsid w:val="1E033DED"/>
    <w:rsid w:val="1EEC6AF1"/>
    <w:rsid w:val="232F0909"/>
    <w:rsid w:val="23E7356E"/>
    <w:rsid w:val="243E45C7"/>
    <w:rsid w:val="24F259CD"/>
    <w:rsid w:val="259752B1"/>
    <w:rsid w:val="26CD2FFD"/>
    <w:rsid w:val="27072B67"/>
    <w:rsid w:val="27AA5AD0"/>
    <w:rsid w:val="2BA51DE4"/>
    <w:rsid w:val="2E7B1445"/>
    <w:rsid w:val="2EEA4A0A"/>
    <w:rsid w:val="2FE83639"/>
    <w:rsid w:val="2FE94AE6"/>
    <w:rsid w:val="316D4E29"/>
    <w:rsid w:val="345C77C5"/>
    <w:rsid w:val="366842E1"/>
    <w:rsid w:val="36A05164"/>
    <w:rsid w:val="36BD312A"/>
    <w:rsid w:val="375D66BB"/>
    <w:rsid w:val="3831783F"/>
    <w:rsid w:val="38CD7870"/>
    <w:rsid w:val="39155CC9"/>
    <w:rsid w:val="3A485400"/>
    <w:rsid w:val="3B19180F"/>
    <w:rsid w:val="3CE412A1"/>
    <w:rsid w:val="3D2959BD"/>
    <w:rsid w:val="3D7B152A"/>
    <w:rsid w:val="3DCF4B3F"/>
    <w:rsid w:val="411169B9"/>
    <w:rsid w:val="41C96C50"/>
    <w:rsid w:val="42B20202"/>
    <w:rsid w:val="42F97BDF"/>
    <w:rsid w:val="436801BB"/>
    <w:rsid w:val="44590772"/>
    <w:rsid w:val="451C7579"/>
    <w:rsid w:val="45B95F13"/>
    <w:rsid w:val="46963997"/>
    <w:rsid w:val="4880283D"/>
    <w:rsid w:val="4986127D"/>
    <w:rsid w:val="4A5B4CDC"/>
    <w:rsid w:val="4A9F72BE"/>
    <w:rsid w:val="4B0D4CE1"/>
    <w:rsid w:val="4BF921B0"/>
    <w:rsid w:val="4D003F07"/>
    <w:rsid w:val="4E3244EB"/>
    <w:rsid w:val="4F0E4A13"/>
    <w:rsid w:val="4F594BCD"/>
    <w:rsid w:val="50202421"/>
    <w:rsid w:val="511A6B5D"/>
    <w:rsid w:val="52301E16"/>
    <w:rsid w:val="52790403"/>
    <w:rsid w:val="533B4459"/>
    <w:rsid w:val="53B05AB4"/>
    <w:rsid w:val="53F73B94"/>
    <w:rsid w:val="54D940C9"/>
    <w:rsid w:val="565007C1"/>
    <w:rsid w:val="5A3115B5"/>
    <w:rsid w:val="5AF727FF"/>
    <w:rsid w:val="5B551AD3"/>
    <w:rsid w:val="5BA21CAF"/>
    <w:rsid w:val="5C0B3DC7"/>
    <w:rsid w:val="5C6173BF"/>
    <w:rsid w:val="5ECC31B3"/>
    <w:rsid w:val="5FE656F6"/>
    <w:rsid w:val="647037F3"/>
    <w:rsid w:val="66FF0927"/>
    <w:rsid w:val="674072DB"/>
    <w:rsid w:val="675C2790"/>
    <w:rsid w:val="678673E4"/>
    <w:rsid w:val="699F5234"/>
    <w:rsid w:val="6A220F1A"/>
    <w:rsid w:val="6BA25A90"/>
    <w:rsid w:val="6D45284C"/>
    <w:rsid w:val="6EFA25F9"/>
    <w:rsid w:val="703B037C"/>
    <w:rsid w:val="70666EF7"/>
    <w:rsid w:val="71562C1B"/>
    <w:rsid w:val="7243196D"/>
    <w:rsid w:val="744E31D5"/>
    <w:rsid w:val="759266AA"/>
    <w:rsid w:val="75AC45E2"/>
    <w:rsid w:val="764D5571"/>
    <w:rsid w:val="777F4DB5"/>
    <w:rsid w:val="78E419D2"/>
    <w:rsid w:val="7B03511C"/>
    <w:rsid w:val="7BAE260E"/>
    <w:rsid w:val="7C334A2E"/>
    <w:rsid w:val="7C793A7A"/>
    <w:rsid w:val="7CE8273A"/>
    <w:rsid w:val="7D007775"/>
    <w:rsid w:val="7D6C6D96"/>
    <w:rsid w:val="7D893333"/>
    <w:rsid w:val="7DBF274B"/>
    <w:rsid w:val="7E3A462D"/>
    <w:rsid w:val="7E97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99"/>
  </w:style>
  <w:style w:type="paragraph" w:styleId="6">
    <w:name w:val="index 8"/>
    <w:basedOn w:val="1"/>
    <w:next w:val="1"/>
    <w:qFormat/>
    <w:uiPriority w:val="99"/>
    <w:pPr>
      <w:ind w:left="1400" w:leftChars="1400"/>
    </w:pPr>
  </w:style>
  <w:style w:type="paragraph" w:styleId="7">
    <w:name w:val="Normal Indent"/>
    <w:basedOn w:val="1"/>
    <w:qFormat/>
    <w:uiPriority w:val="0"/>
    <w:pPr>
      <w:ind w:firstLine="200" w:firstLineChars="200"/>
    </w:pPr>
    <w:rPr>
      <w:rFonts w:eastAsia="楷体_GB2312"/>
    </w:rPr>
  </w:style>
  <w:style w:type="paragraph" w:styleId="8">
    <w:name w:val="annotation text"/>
    <w:basedOn w:val="1"/>
    <w:link w:val="38"/>
    <w:semiHidden/>
    <w:unhideWhenUsed/>
    <w:qFormat/>
    <w:uiPriority w:val="99"/>
    <w:pPr>
      <w:jc w:val="left"/>
    </w:pPr>
  </w:style>
  <w:style w:type="paragraph" w:styleId="9">
    <w:name w:val="Body Text"/>
    <w:basedOn w:val="1"/>
    <w:next w:val="6"/>
    <w:link w:val="43"/>
    <w:qFormat/>
    <w:uiPriority w:val="0"/>
    <w:pPr>
      <w:spacing w:after="120" w:line="360" w:lineRule="auto"/>
      <w:jc w:val="left"/>
    </w:pPr>
    <w:rPr>
      <w:rFonts w:ascii="Calibri" w:hAnsi="Calibri" w:eastAsia="仿宋" w:cs="Times New Roman"/>
      <w:sz w:val="28"/>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Balloon Text"/>
    <w:basedOn w:val="1"/>
    <w:link w:val="35"/>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259" w:lineRule="auto"/>
      <w:jc w:val="left"/>
    </w:pPr>
    <w:rPr>
      <w:rFonts w:cs="Times New Roman"/>
      <w:kern w:val="0"/>
      <w:sz w:val="24"/>
      <w:szCs w:val="24"/>
    </w:rPr>
  </w:style>
  <w:style w:type="paragraph" w:styleId="15">
    <w:name w:val="footnote text"/>
    <w:basedOn w:val="1"/>
    <w:link w:val="31"/>
    <w:semiHidden/>
    <w:unhideWhenUsed/>
    <w:qFormat/>
    <w:uiPriority w:val="99"/>
    <w:pPr>
      <w:snapToGrid w:val="0"/>
      <w:jc w:val="left"/>
    </w:pPr>
    <w:rPr>
      <w:sz w:val="18"/>
      <w:szCs w:val="18"/>
    </w:r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line number"/>
    <w:basedOn w:val="20"/>
    <w:semiHidden/>
    <w:unhideWhenUsed/>
    <w:qFormat/>
    <w:uiPriority w:val="99"/>
  </w:style>
  <w:style w:type="character" w:styleId="24">
    <w:name w:val="Hyperlink"/>
    <w:basedOn w:val="20"/>
    <w:unhideWhenUsed/>
    <w:qFormat/>
    <w:uiPriority w:val="99"/>
    <w:rPr>
      <w:color w:val="0000FF"/>
      <w:u w:val="single"/>
    </w:rPr>
  </w:style>
  <w:style w:type="character" w:styleId="25">
    <w:name w:val="annotation reference"/>
    <w:basedOn w:val="20"/>
    <w:semiHidden/>
    <w:unhideWhenUsed/>
    <w:qFormat/>
    <w:uiPriority w:val="99"/>
    <w:rPr>
      <w:sz w:val="21"/>
      <w:szCs w:val="21"/>
    </w:rPr>
  </w:style>
  <w:style w:type="character" w:styleId="26">
    <w:name w:val="footnote reference"/>
    <w:basedOn w:val="20"/>
    <w:semiHidden/>
    <w:unhideWhenUsed/>
    <w:qFormat/>
    <w:uiPriority w:val="99"/>
    <w:rPr>
      <w:vertAlign w:val="superscript"/>
    </w:rPr>
  </w:style>
  <w:style w:type="paragraph" w:styleId="27">
    <w:name w:val="List Paragraph"/>
    <w:basedOn w:val="1"/>
    <w:qFormat/>
    <w:uiPriority w:val="34"/>
    <w:pPr>
      <w:ind w:firstLine="420" w:firstLineChars="200"/>
    </w:pPr>
  </w:style>
  <w:style w:type="character" w:customStyle="1" w:styleId="28">
    <w:name w:val="页眉 Char"/>
    <w:basedOn w:val="20"/>
    <w:link w:val="13"/>
    <w:qFormat/>
    <w:uiPriority w:val="99"/>
    <w:rPr>
      <w:sz w:val="18"/>
      <w:szCs w:val="18"/>
    </w:rPr>
  </w:style>
  <w:style w:type="character" w:customStyle="1" w:styleId="29">
    <w:name w:val="页脚 Char"/>
    <w:basedOn w:val="20"/>
    <w:link w:val="12"/>
    <w:qFormat/>
    <w:uiPriority w:val="99"/>
    <w:rPr>
      <w:sz w:val="18"/>
      <w:szCs w:val="18"/>
    </w:rPr>
  </w:style>
  <w:style w:type="character" w:customStyle="1" w:styleId="30">
    <w:name w:val="标题 2 Char"/>
    <w:basedOn w:val="20"/>
    <w:link w:val="4"/>
    <w:qFormat/>
    <w:uiPriority w:val="9"/>
    <w:rPr>
      <w:rFonts w:ascii="宋体" w:hAnsi="宋体" w:eastAsia="宋体" w:cs="宋体"/>
      <w:b/>
      <w:bCs/>
      <w:kern w:val="0"/>
      <w:sz w:val="36"/>
      <w:szCs w:val="36"/>
    </w:rPr>
  </w:style>
  <w:style w:type="character" w:customStyle="1" w:styleId="31">
    <w:name w:val="脚注文本 Char"/>
    <w:basedOn w:val="20"/>
    <w:link w:val="15"/>
    <w:semiHidden/>
    <w:qFormat/>
    <w:uiPriority w:val="99"/>
    <w:rPr>
      <w:kern w:val="2"/>
      <w:sz w:val="18"/>
      <w:szCs w:val="18"/>
    </w:rPr>
  </w:style>
  <w:style w:type="character" w:customStyle="1" w:styleId="32">
    <w:name w:val="标题 1 Char"/>
    <w:basedOn w:val="20"/>
    <w:link w:val="3"/>
    <w:qFormat/>
    <w:uiPriority w:val="9"/>
    <w:rPr>
      <w:b/>
      <w:bCs/>
      <w:kern w:val="44"/>
      <w:sz w:val="44"/>
      <w:szCs w:val="44"/>
    </w:rPr>
  </w:style>
  <w:style w:type="character" w:customStyle="1" w:styleId="33">
    <w:name w:val="time"/>
    <w:basedOn w:val="20"/>
    <w:qFormat/>
    <w:uiPriority w:val="0"/>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5">
    <w:name w:val="批注框文本 Char"/>
    <w:basedOn w:val="20"/>
    <w:link w:val="11"/>
    <w:semiHidden/>
    <w:qFormat/>
    <w:uiPriority w:val="99"/>
    <w:rPr>
      <w:kern w:val="2"/>
      <w:sz w:val="18"/>
      <w:szCs w:val="18"/>
    </w:rPr>
  </w:style>
  <w:style w:type="character" w:customStyle="1" w:styleId="36">
    <w:name w:val="bjh-p"/>
    <w:basedOn w:val="20"/>
    <w:qFormat/>
    <w:uiPriority w:val="0"/>
  </w:style>
  <w:style w:type="character" w:customStyle="1" w:styleId="37">
    <w:name w:val="bjh-strong"/>
    <w:basedOn w:val="20"/>
    <w:qFormat/>
    <w:uiPriority w:val="0"/>
  </w:style>
  <w:style w:type="character" w:customStyle="1" w:styleId="38">
    <w:name w:val="批注文字 Char"/>
    <w:basedOn w:val="20"/>
    <w:link w:val="8"/>
    <w:semiHidden/>
    <w:qFormat/>
    <w:uiPriority w:val="99"/>
    <w:rPr>
      <w:kern w:val="2"/>
      <w:sz w:val="21"/>
      <w:szCs w:val="22"/>
    </w:rPr>
  </w:style>
  <w:style w:type="character" w:customStyle="1" w:styleId="39">
    <w:name w:val="fontstyle01"/>
    <w:basedOn w:val="20"/>
    <w:qFormat/>
    <w:uiPriority w:val="0"/>
    <w:rPr>
      <w:rFonts w:hint="eastAsia" w:ascii="仿宋" w:hAnsi="仿宋" w:eastAsia="仿宋"/>
      <w:color w:val="000000"/>
      <w:sz w:val="28"/>
      <w:szCs w:val="28"/>
    </w:rPr>
  </w:style>
  <w:style w:type="character" w:customStyle="1" w:styleId="40">
    <w:name w:val="ariafocus"/>
    <w:basedOn w:val="20"/>
    <w:qFormat/>
    <w:uiPriority w:val="0"/>
  </w:style>
  <w:style w:type="paragraph" w:customStyle="1" w:styleId="41">
    <w:name w:val="专栏"/>
    <w:basedOn w:val="1"/>
    <w:link w:val="42"/>
    <w:qFormat/>
    <w:uiPriority w:val="99"/>
    <w:pPr>
      <w:adjustRightInd w:val="0"/>
      <w:snapToGrid w:val="0"/>
      <w:spacing w:line="400" w:lineRule="exact"/>
      <w:ind w:firstLine="200" w:firstLineChars="200"/>
    </w:pPr>
    <w:rPr>
      <w:rFonts w:ascii="Times New Roman" w:hAnsi="华文楷体" w:eastAsia="宋体" w:cs="仿宋_GB2312"/>
      <w:bCs/>
      <w:color w:val="000000"/>
      <w:sz w:val="24"/>
    </w:rPr>
  </w:style>
  <w:style w:type="character" w:customStyle="1" w:styleId="42">
    <w:name w:val="专栏 字符"/>
    <w:link w:val="41"/>
    <w:qFormat/>
    <w:locked/>
    <w:uiPriority w:val="99"/>
    <w:rPr>
      <w:rFonts w:ascii="Times New Roman" w:hAnsi="华文楷体" w:eastAsia="宋体" w:cs="仿宋_GB2312"/>
      <w:bCs/>
      <w:color w:val="000000"/>
      <w:kern w:val="2"/>
      <w:sz w:val="24"/>
      <w:szCs w:val="22"/>
    </w:rPr>
  </w:style>
  <w:style w:type="character" w:customStyle="1" w:styleId="43">
    <w:name w:val="正文文本 Char"/>
    <w:basedOn w:val="20"/>
    <w:link w:val="9"/>
    <w:qFormat/>
    <w:uiPriority w:val="0"/>
    <w:rPr>
      <w:rFonts w:ascii="Calibri" w:hAnsi="Calibri" w:eastAsia="仿宋" w:cs="Times New Roman"/>
      <w:kern w:val="2"/>
      <w:sz w:val="28"/>
      <w:szCs w:val="22"/>
    </w:rPr>
  </w:style>
  <w:style w:type="character" w:customStyle="1" w:styleId="44">
    <w:name w:val="标题 3 Char"/>
    <w:basedOn w:val="20"/>
    <w:link w:val="5"/>
    <w:semiHidden/>
    <w:qFormat/>
    <w:uiPriority w:val="9"/>
    <w:rPr>
      <w:b/>
      <w:bCs/>
      <w:kern w:val="2"/>
      <w:sz w:val="32"/>
      <w:szCs w:val="32"/>
    </w:rPr>
  </w:style>
  <w:style w:type="character" w:customStyle="1" w:styleId="45">
    <w:name w:val="font"/>
    <w:basedOn w:val="20"/>
    <w:qFormat/>
    <w:uiPriority w:val="0"/>
  </w:style>
  <w:style w:type="character" w:customStyle="1" w:styleId="46">
    <w:name w:val="source"/>
    <w:basedOn w:val="20"/>
    <w:qFormat/>
    <w:uiPriority w:val="0"/>
  </w:style>
  <w:style w:type="character" w:customStyle="1" w:styleId="47">
    <w:name w:val="author"/>
    <w:basedOn w:val="20"/>
    <w:qFormat/>
    <w:uiPriority w:val="0"/>
  </w:style>
  <w:style w:type="character" w:customStyle="1" w:styleId="48">
    <w:name w:val="hits"/>
    <w:basedOn w:val="20"/>
    <w:qFormat/>
    <w:uiPriority w:val="0"/>
  </w:style>
  <w:style w:type="paragraph" w:customStyle="1" w:styleId="49">
    <w:name w:val="2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0">
    <w:name w:val="fontstyle11"/>
    <w:basedOn w:val="20"/>
    <w:qFormat/>
    <w:uiPriority w:val="0"/>
    <w:rPr>
      <w:rFonts w:hint="default" w:ascii="TimesNewRomanPS-BoldMT" w:hAnsi="TimesNewRomanPS-BoldMT"/>
      <w:b/>
      <w:bCs/>
      <w:color w:val="000000"/>
      <w:sz w:val="32"/>
      <w:szCs w:val="32"/>
    </w:rPr>
  </w:style>
  <w:style w:type="character" w:customStyle="1" w:styleId="51">
    <w:name w:val="fontstyle21"/>
    <w:basedOn w:val="20"/>
    <w:qFormat/>
    <w:uiPriority w:val="0"/>
    <w:rPr>
      <w:rFonts w:hint="default" w:ascii="TimesNewRomanPSMT" w:hAnsi="TimesNewRomanPSMT"/>
      <w:color w:val="000000"/>
      <w:sz w:val="32"/>
      <w:szCs w:val="32"/>
    </w:rPr>
  </w:style>
  <w:style w:type="paragraph" w:customStyle="1" w:styleId="52">
    <w:name w:val="样式2"/>
    <w:basedOn w:val="5"/>
    <w:next w:val="5"/>
    <w:qFormat/>
    <w:uiPriority w:val="99"/>
    <w:pPr>
      <w:numPr>
        <w:ilvl w:val="0"/>
        <w:numId w:val="1"/>
      </w:numPr>
      <w:adjustRightInd w:val="0"/>
      <w:snapToGrid w:val="0"/>
      <w:spacing w:before="100" w:after="100" w:line="360" w:lineRule="auto"/>
      <w:ind w:firstLine="0"/>
    </w:pPr>
    <w:rPr>
      <w:rFonts w:ascii="Calibri" w:hAnsi="Calibri" w:eastAsia="仿宋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5" Type="http://schemas.openxmlformats.org/officeDocument/2006/relationships/fontTable" Target="fontTable.xml"/><Relationship Id="rId64" Type="http://schemas.openxmlformats.org/officeDocument/2006/relationships/customXml" Target="../customXml/item2.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2.xml"/><Relationship Id="rId6" Type="http://schemas.openxmlformats.org/officeDocument/2006/relationships/footer" Target="footer2.xml"/><Relationship Id="rId59" Type="http://schemas.openxmlformats.org/officeDocument/2006/relationships/footer" Target="footer31.xml"/><Relationship Id="rId58" Type="http://schemas.openxmlformats.org/officeDocument/2006/relationships/header" Target="header25.xml"/><Relationship Id="rId57" Type="http://schemas.openxmlformats.org/officeDocument/2006/relationships/footer" Target="footer30.xml"/><Relationship Id="rId56" Type="http://schemas.openxmlformats.org/officeDocument/2006/relationships/header" Target="header24.xml"/><Relationship Id="rId55" Type="http://schemas.openxmlformats.org/officeDocument/2006/relationships/footer" Target="footer29.xml"/><Relationship Id="rId54" Type="http://schemas.openxmlformats.org/officeDocument/2006/relationships/header" Target="header23.xml"/><Relationship Id="rId53" Type="http://schemas.openxmlformats.org/officeDocument/2006/relationships/footer" Target="footer28.xml"/><Relationship Id="rId52" Type="http://schemas.openxmlformats.org/officeDocument/2006/relationships/header" Target="header22.xml"/><Relationship Id="rId51" Type="http://schemas.openxmlformats.org/officeDocument/2006/relationships/footer" Target="footer27.xml"/><Relationship Id="rId50" Type="http://schemas.openxmlformats.org/officeDocument/2006/relationships/header" Target="header21.xml"/><Relationship Id="rId5" Type="http://schemas.openxmlformats.org/officeDocument/2006/relationships/footer" Target="footer1.xml"/><Relationship Id="rId49" Type="http://schemas.openxmlformats.org/officeDocument/2006/relationships/footer" Target="footer26.xml"/><Relationship Id="rId48" Type="http://schemas.openxmlformats.org/officeDocument/2006/relationships/header" Target="header20.xml"/><Relationship Id="rId47" Type="http://schemas.openxmlformats.org/officeDocument/2006/relationships/footer" Target="footer25.xml"/><Relationship Id="rId46" Type="http://schemas.openxmlformats.org/officeDocument/2006/relationships/header" Target="header19.xml"/><Relationship Id="rId45" Type="http://schemas.openxmlformats.org/officeDocument/2006/relationships/footer" Target="footer24.xml"/><Relationship Id="rId44" Type="http://schemas.openxmlformats.org/officeDocument/2006/relationships/header" Target="header18.xml"/><Relationship Id="rId43" Type="http://schemas.openxmlformats.org/officeDocument/2006/relationships/footer" Target="footer23.xml"/><Relationship Id="rId42" Type="http://schemas.openxmlformats.org/officeDocument/2006/relationships/header" Target="header17.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header" Target="header1.xml"/><Relationship Id="rId39" Type="http://schemas.openxmlformats.org/officeDocument/2006/relationships/header" Target="header16.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header" Target="header15.xml"/><Relationship Id="rId35" Type="http://schemas.openxmlformats.org/officeDocument/2006/relationships/header" Target="header14.xml"/><Relationship Id="rId34" Type="http://schemas.openxmlformats.org/officeDocument/2006/relationships/header" Target="header13.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2.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header" Target="header10.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9.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57"/>
    <customShpInfo spid="_x0000_s3206"/>
    <customShpInfo spid="_x0000_s3211"/>
    <customShpInfo spid="_x0000_s3212"/>
    <customShpInfo spid="_x0000_s3158"/>
    <customShpInfo spid="_x0000_s3210"/>
    <customShpInfo spid="_x0000_s3160"/>
    <customShpInfo spid="_x0000_s3164"/>
    <customShpInfo spid="_x0000_s3166"/>
    <customShpInfo spid="_x0000_s3167"/>
    <customShpInfo spid="_x0000_s3186"/>
    <customShpInfo spid="_x0000_s3192"/>
    <customShpInfo spid="_x0000_s3213"/>
    <customShpInfo spid="_x0000_s3193"/>
    <customShpInfo spid="_x0000_s3217"/>
    <customShpInfo spid="_x0000_s3218"/>
    <customShpInfo spid="_x0000_s3215"/>
    <customShpInfo spid="_x0000_s3216"/>
    <customShpInfo spid="_x0000_s3204"/>
    <customShpInfo spid="_x0000_s3205"/>
    <customShpInfo spid="_x0000_s3091"/>
    <customShpInfo spid="_x0000_s3207"/>
    <customShpInfo spid="_x0000_s3194"/>
    <customShpInfo spid="_x0000_s3098"/>
    <customShpInfo spid="_x0000_s3195"/>
    <customShpInfo spid="_x0000_s3102"/>
    <customShpInfo spid="_x0000_s3196"/>
    <customShpInfo spid="_x0000_s3119"/>
    <customShpInfo spid="_x0000_s3197"/>
    <customShpInfo spid="_x0000_s3123"/>
    <customShpInfo spid="_x0000_s3073"/>
    <customShpInfo spid="_x0000_s320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F2CE4-B7BE-4F9B-BF15-F0A7D7F75180}">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61944</Words>
  <Characters>62945</Characters>
  <Lines>483</Lines>
  <Paragraphs>136</Paragraphs>
  <TotalTime>277</TotalTime>
  <ScaleCrop>false</ScaleCrop>
  <LinksUpToDate>false</LinksUpToDate>
  <CharactersWithSpaces>63180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2023-04-26T13:49:00Z</dcterms:created>
  <dc:creator>ibm</dc:creator>
  <cp:lastModifiedBy>CHEN FU</cp:lastModifiedBy>
  <cp:lastPrinted>2024-06-07T02:10:00Z</cp:lastPrinted>
  <dcterms:modified xsi:type="dcterms:W3CDTF">2024-06-12T00:41:48Z</dcterms:modified>
  <cp:revision>915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AB3477574A61463EA57FDA9385ADA160_13</vt:lpwstr>
  </property>
</Properties>
</file>